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B166E" w14:textId="77777777" w:rsidR="00C76632" w:rsidRPr="003C0C3A" w:rsidRDefault="00C76632" w:rsidP="00C76632">
      <w:pPr>
        <w:pStyle w:val="Default"/>
        <w:jc w:val="center"/>
        <w:rPr>
          <w:rFonts w:asciiTheme="majorHAnsi" w:hAnsiTheme="majorHAnsi" w:cstheme="majorHAnsi"/>
          <w:sz w:val="28"/>
          <w:szCs w:val="28"/>
        </w:rPr>
      </w:pPr>
      <w:r w:rsidRPr="003C0C3A">
        <w:rPr>
          <w:rFonts w:asciiTheme="majorHAnsi" w:hAnsiTheme="majorHAnsi" w:cstheme="majorHAnsi"/>
          <w:i/>
          <w:sz w:val="28"/>
          <w:szCs w:val="28"/>
        </w:rPr>
        <w:t>A</w:t>
      </w:r>
      <w:r w:rsidRPr="003C0C3A">
        <w:rPr>
          <w:rFonts w:asciiTheme="majorHAnsi" w:hAnsiTheme="majorHAnsi" w:cstheme="majorHAnsi"/>
          <w:i/>
          <w:spacing w:val="-2"/>
          <w:sz w:val="28"/>
          <w:szCs w:val="28"/>
        </w:rPr>
        <w:t xml:space="preserve"> </w:t>
      </w:r>
      <w:r w:rsidRPr="003C0C3A">
        <w:rPr>
          <w:rFonts w:asciiTheme="majorHAnsi" w:hAnsiTheme="majorHAnsi" w:cstheme="majorHAnsi"/>
          <w:i/>
          <w:sz w:val="28"/>
          <w:szCs w:val="28"/>
        </w:rPr>
        <w:t>message</w:t>
      </w:r>
      <w:r w:rsidRPr="003C0C3A">
        <w:rPr>
          <w:rFonts w:asciiTheme="majorHAnsi" w:hAnsiTheme="majorHAnsi" w:cstheme="majorHAnsi"/>
          <w:i/>
          <w:spacing w:val="-2"/>
          <w:sz w:val="28"/>
          <w:szCs w:val="28"/>
        </w:rPr>
        <w:t xml:space="preserve"> </w:t>
      </w:r>
      <w:r w:rsidRPr="003C0C3A">
        <w:rPr>
          <w:rFonts w:asciiTheme="majorHAnsi" w:hAnsiTheme="majorHAnsi" w:cstheme="majorHAnsi"/>
          <w:i/>
          <w:sz w:val="28"/>
          <w:szCs w:val="28"/>
        </w:rPr>
        <w:t>from</w:t>
      </w:r>
      <w:r w:rsidRPr="003C0C3A">
        <w:rPr>
          <w:rFonts w:asciiTheme="majorHAnsi" w:hAnsiTheme="majorHAnsi" w:cstheme="majorHAnsi"/>
          <w:i/>
          <w:spacing w:val="-1"/>
          <w:sz w:val="28"/>
          <w:szCs w:val="28"/>
        </w:rPr>
        <w:t xml:space="preserve"> </w:t>
      </w:r>
      <w:r w:rsidRPr="003C0C3A">
        <w:rPr>
          <w:rFonts w:asciiTheme="majorHAnsi" w:hAnsiTheme="majorHAnsi" w:cstheme="majorHAnsi"/>
          <w:i/>
          <w:sz w:val="28"/>
          <w:szCs w:val="28"/>
        </w:rPr>
        <w:t>the</w:t>
      </w:r>
      <w:r w:rsidRPr="003C0C3A">
        <w:rPr>
          <w:rFonts w:asciiTheme="majorHAnsi" w:hAnsiTheme="majorHAnsi" w:cstheme="majorHAnsi"/>
          <w:i/>
          <w:spacing w:val="-2"/>
          <w:sz w:val="28"/>
          <w:szCs w:val="28"/>
        </w:rPr>
        <w:t xml:space="preserve"> </w:t>
      </w:r>
      <w:r w:rsidRPr="003C0C3A">
        <w:rPr>
          <w:rFonts w:asciiTheme="majorHAnsi" w:hAnsiTheme="majorHAnsi" w:cstheme="majorHAnsi"/>
          <w:i/>
          <w:sz w:val="28"/>
          <w:szCs w:val="28"/>
        </w:rPr>
        <w:t>Utility</w:t>
      </w:r>
      <w:r w:rsidRPr="003C0C3A">
        <w:rPr>
          <w:rFonts w:asciiTheme="majorHAnsi" w:hAnsiTheme="majorHAnsi" w:cstheme="majorHAnsi"/>
          <w:i/>
          <w:spacing w:val="-2"/>
          <w:sz w:val="28"/>
          <w:szCs w:val="28"/>
        </w:rPr>
        <w:t xml:space="preserve"> </w:t>
      </w:r>
      <w:r w:rsidRPr="003C0C3A">
        <w:rPr>
          <w:rFonts w:asciiTheme="majorHAnsi" w:hAnsiTheme="majorHAnsi" w:cstheme="majorHAnsi"/>
          <w:i/>
          <w:spacing w:val="-1"/>
          <w:sz w:val="28"/>
          <w:szCs w:val="28"/>
        </w:rPr>
        <w:t xml:space="preserve">Rates </w:t>
      </w:r>
      <w:r w:rsidRPr="003C0C3A">
        <w:rPr>
          <w:rFonts w:asciiTheme="majorHAnsi" w:hAnsiTheme="majorHAnsi" w:cstheme="majorHAnsi"/>
          <w:i/>
          <w:spacing w:val="-3"/>
          <w:sz w:val="28"/>
          <w:szCs w:val="28"/>
        </w:rPr>
        <w:t>Review</w:t>
      </w:r>
      <w:r w:rsidRPr="003C0C3A">
        <w:rPr>
          <w:rFonts w:asciiTheme="majorHAnsi" w:hAnsiTheme="majorHAnsi" w:cstheme="majorHAnsi"/>
          <w:i/>
          <w:spacing w:val="-2"/>
          <w:sz w:val="28"/>
          <w:szCs w:val="28"/>
        </w:rPr>
        <w:t xml:space="preserve"> </w:t>
      </w:r>
      <w:r w:rsidRPr="003C0C3A">
        <w:rPr>
          <w:rFonts w:asciiTheme="majorHAnsi" w:hAnsiTheme="majorHAnsi" w:cstheme="majorHAnsi"/>
          <w:i/>
          <w:sz w:val="28"/>
          <w:szCs w:val="28"/>
        </w:rPr>
        <w:t>Counc</w:t>
      </w:r>
      <w:r w:rsidRPr="003C0C3A">
        <w:rPr>
          <w:rFonts w:asciiTheme="majorHAnsi" w:hAnsiTheme="majorHAnsi" w:cstheme="majorHAnsi"/>
          <w:sz w:val="28"/>
          <w:szCs w:val="28"/>
        </w:rPr>
        <w:t>il</w:t>
      </w:r>
    </w:p>
    <w:p w14:paraId="6998354D" w14:textId="77777777" w:rsidR="00C76632" w:rsidRPr="003C0C3A" w:rsidRDefault="00C76632" w:rsidP="00C76632">
      <w:pPr>
        <w:pStyle w:val="Default"/>
        <w:jc w:val="both"/>
        <w:rPr>
          <w:rFonts w:asciiTheme="majorHAnsi" w:hAnsiTheme="majorHAnsi" w:cstheme="majorHAnsi"/>
          <w:color w:val="auto"/>
          <w:spacing w:val="-1"/>
          <w:sz w:val="28"/>
          <w:szCs w:val="28"/>
        </w:rPr>
      </w:pPr>
    </w:p>
    <w:p w14:paraId="27E03870" w14:textId="10A88FE6" w:rsidR="0070714C" w:rsidRPr="0070714C" w:rsidRDefault="0070714C" w:rsidP="00FC26AE">
      <w:pPr>
        <w:pStyle w:val="Default"/>
        <w:jc w:val="both"/>
        <w:rPr>
          <w:rFonts w:asciiTheme="majorHAnsi" w:hAnsiTheme="majorHAnsi" w:cstheme="majorHAnsi"/>
          <w:color w:val="auto"/>
          <w:spacing w:val="-1"/>
          <w:sz w:val="28"/>
          <w:szCs w:val="28"/>
        </w:rPr>
      </w:pPr>
      <w:r>
        <w:rPr>
          <w:rFonts w:asciiTheme="majorHAnsi" w:hAnsiTheme="majorHAnsi" w:cstheme="majorHAnsi"/>
          <w:color w:val="auto"/>
          <w:spacing w:val="-1"/>
          <w:sz w:val="28"/>
          <w:szCs w:val="28"/>
        </w:rPr>
        <w:t xml:space="preserve">The URRC received a General Rate Application (GRA or application) from </w:t>
      </w:r>
      <w:r w:rsidR="00C76632" w:rsidRPr="003C0C3A">
        <w:rPr>
          <w:rFonts w:asciiTheme="majorHAnsi" w:hAnsiTheme="majorHAnsi" w:cstheme="majorHAnsi"/>
          <w:color w:val="auto"/>
          <w:spacing w:val="-1"/>
          <w:sz w:val="28"/>
          <w:szCs w:val="28"/>
        </w:rPr>
        <w:t>Qulliq Energy Corporation</w:t>
      </w:r>
      <w:r w:rsidR="00162FE9">
        <w:rPr>
          <w:rFonts w:asciiTheme="majorHAnsi" w:hAnsiTheme="majorHAnsi" w:cstheme="majorHAnsi"/>
          <w:color w:val="auto"/>
          <w:spacing w:val="-1"/>
          <w:sz w:val="28"/>
          <w:szCs w:val="28"/>
        </w:rPr>
        <w:t xml:space="preserve"> (QEC)</w:t>
      </w:r>
      <w:r w:rsidR="00C76632" w:rsidRPr="003C0C3A">
        <w:rPr>
          <w:rFonts w:asciiTheme="majorHAnsi" w:hAnsiTheme="majorHAnsi" w:cstheme="majorHAnsi"/>
          <w:color w:val="auto"/>
          <w:spacing w:val="-1"/>
          <w:sz w:val="28"/>
          <w:szCs w:val="28"/>
        </w:rPr>
        <w:t xml:space="preserve"> </w:t>
      </w:r>
      <w:r>
        <w:rPr>
          <w:rFonts w:asciiTheme="majorHAnsi" w:hAnsiTheme="majorHAnsi" w:cstheme="majorHAnsi"/>
          <w:color w:val="auto"/>
          <w:spacing w:val="-1"/>
          <w:sz w:val="28"/>
          <w:szCs w:val="28"/>
        </w:rPr>
        <w:t xml:space="preserve">on </w:t>
      </w:r>
      <w:r w:rsidR="00C51CD6">
        <w:rPr>
          <w:rFonts w:asciiTheme="majorHAnsi" w:hAnsiTheme="majorHAnsi" w:cstheme="majorHAnsi"/>
          <w:color w:val="auto"/>
          <w:spacing w:val="-1"/>
          <w:sz w:val="28"/>
          <w:szCs w:val="28"/>
        </w:rPr>
        <w:t>November 29</w:t>
      </w:r>
      <w:r>
        <w:rPr>
          <w:rFonts w:asciiTheme="majorHAnsi" w:hAnsiTheme="majorHAnsi" w:cstheme="majorHAnsi"/>
          <w:color w:val="auto"/>
          <w:spacing w:val="-1"/>
          <w:sz w:val="28"/>
          <w:szCs w:val="28"/>
        </w:rPr>
        <w:t>, 202</w:t>
      </w:r>
      <w:r w:rsidR="00C51CD6">
        <w:rPr>
          <w:rFonts w:asciiTheme="majorHAnsi" w:hAnsiTheme="majorHAnsi" w:cstheme="majorHAnsi"/>
          <w:color w:val="auto"/>
          <w:spacing w:val="-1"/>
          <w:sz w:val="28"/>
          <w:szCs w:val="28"/>
        </w:rPr>
        <w:t>4</w:t>
      </w:r>
      <w:r>
        <w:rPr>
          <w:rFonts w:asciiTheme="majorHAnsi" w:hAnsiTheme="majorHAnsi" w:cstheme="majorHAnsi"/>
          <w:color w:val="auto"/>
          <w:spacing w:val="-1"/>
          <w:sz w:val="28"/>
          <w:szCs w:val="28"/>
        </w:rPr>
        <w:t xml:space="preserve">. The application was forwarded </w:t>
      </w:r>
      <w:r w:rsidRPr="0070714C">
        <w:rPr>
          <w:rFonts w:asciiTheme="majorHAnsi" w:hAnsiTheme="majorHAnsi" w:cstheme="majorHAnsi"/>
          <w:color w:val="auto"/>
          <w:spacing w:val="-1"/>
          <w:sz w:val="28"/>
          <w:szCs w:val="28"/>
        </w:rPr>
        <w:t xml:space="preserve">by the Minister Responsible for the Qulliq Energy Corporation for the URRC’s review and recommendation. </w:t>
      </w:r>
    </w:p>
    <w:p w14:paraId="7A71C8EE" w14:textId="77777777" w:rsidR="0070714C" w:rsidRDefault="0070714C" w:rsidP="00FC26AE">
      <w:pPr>
        <w:pStyle w:val="Default"/>
        <w:jc w:val="both"/>
      </w:pPr>
    </w:p>
    <w:p w14:paraId="7F18847C" w14:textId="7CD0A187" w:rsidR="000E6F60" w:rsidRPr="000E6F60" w:rsidRDefault="000E6F60" w:rsidP="004F1F17">
      <w:pPr>
        <w:jc w:val="both"/>
        <w:rPr>
          <w:rFonts w:asciiTheme="majorHAnsi" w:hAnsiTheme="majorHAnsi" w:cstheme="majorHAnsi"/>
          <w:b/>
          <w:spacing w:val="-1"/>
          <w:sz w:val="28"/>
          <w:szCs w:val="28"/>
          <w:lang w:val="en-CA"/>
        </w:rPr>
      </w:pPr>
      <w:r w:rsidRPr="000E6F60">
        <w:rPr>
          <w:rFonts w:asciiTheme="majorHAnsi" w:hAnsiTheme="majorHAnsi" w:cstheme="majorHAnsi"/>
          <w:b/>
          <w:spacing w:val="-1"/>
          <w:sz w:val="28"/>
          <w:szCs w:val="28"/>
          <w:lang w:val="en-CA"/>
        </w:rPr>
        <w:t>The Application</w:t>
      </w:r>
    </w:p>
    <w:p w14:paraId="19776728" w14:textId="68B7BA27" w:rsidR="0070714C" w:rsidRPr="001D386B" w:rsidRDefault="004F1F17" w:rsidP="004F1F17">
      <w:pPr>
        <w:jc w:val="both"/>
        <w:rPr>
          <w:rFonts w:asciiTheme="majorHAnsi" w:hAnsiTheme="majorHAnsi" w:cstheme="majorHAnsi"/>
          <w:spacing w:val="-1"/>
          <w:sz w:val="28"/>
          <w:szCs w:val="28"/>
          <w:lang w:val="en-CA"/>
        </w:rPr>
      </w:pPr>
      <w:r w:rsidRPr="001D386B"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In its application QEC </w:t>
      </w:r>
      <w:r w:rsidR="0070714C" w:rsidRPr="001D386B">
        <w:rPr>
          <w:rFonts w:asciiTheme="majorHAnsi" w:hAnsiTheme="majorHAnsi" w:cstheme="majorHAnsi"/>
          <w:spacing w:val="-1"/>
          <w:sz w:val="28"/>
          <w:szCs w:val="28"/>
          <w:lang w:val="en-CA"/>
        </w:rPr>
        <w:t>requested approval</w:t>
      </w:r>
      <w:r w:rsidR="00983C2C">
        <w:rPr>
          <w:rFonts w:asciiTheme="majorHAnsi" w:hAnsiTheme="majorHAnsi" w:cstheme="majorHAnsi"/>
          <w:spacing w:val="-1"/>
          <w:sz w:val="28"/>
          <w:szCs w:val="28"/>
          <w:lang w:val="en-CA"/>
        </w:rPr>
        <w:t>,</w:t>
      </w:r>
      <w:r w:rsidR="0070714C" w:rsidRPr="001D386B"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 from the Minister Res</w:t>
      </w:r>
      <w:r w:rsidRPr="001D386B">
        <w:rPr>
          <w:rFonts w:asciiTheme="majorHAnsi" w:hAnsiTheme="majorHAnsi" w:cstheme="majorHAnsi"/>
          <w:spacing w:val="-1"/>
          <w:sz w:val="28"/>
          <w:szCs w:val="28"/>
          <w:lang w:val="en-CA"/>
        </w:rPr>
        <w:t>p</w:t>
      </w:r>
      <w:r w:rsidR="0070714C" w:rsidRPr="001D386B">
        <w:rPr>
          <w:rFonts w:asciiTheme="majorHAnsi" w:hAnsiTheme="majorHAnsi" w:cstheme="majorHAnsi"/>
          <w:spacing w:val="-1"/>
          <w:sz w:val="28"/>
          <w:szCs w:val="28"/>
          <w:lang w:val="en-CA"/>
        </w:rPr>
        <w:t>onsible</w:t>
      </w:r>
      <w:r w:rsidR="00983C2C">
        <w:rPr>
          <w:rFonts w:asciiTheme="majorHAnsi" w:hAnsiTheme="majorHAnsi" w:cstheme="majorHAnsi"/>
          <w:spacing w:val="-1"/>
          <w:sz w:val="28"/>
          <w:szCs w:val="28"/>
          <w:lang w:val="en-CA"/>
        </w:rPr>
        <w:t>,</w:t>
      </w:r>
      <w:r w:rsidR="0070714C" w:rsidRPr="001D386B"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 of:</w:t>
      </w:r>
    </w:p>
    <w:p w14:paraId="256256FB" w14:textId="32B616A9" w:rsidR="0070714C" w:rsidRPr="001D386B" w:rsidRDefault="001D386B" w:rsidP="001D386B">
      <w:pPr>
        <w:pStyle w:val="ListParagraph"/>
        <w:numPr>
          <w:ilvl w:val="0"/>
          <w:numId w:val="3"/>
        </w:numPr>
        <w:jc w:val="both"/>
        <w:rPr>
          <w:rFonts w:asciiTheme="majorHAnsi" w:hAnsiTheme="majorHAnsi" w:cstheme="majorHAnsi"/>
          <w:spacing w:val="-1"/>
          <w:sz w:val="28"/>
          <w:szCs w:val="28"/>
          <w:lang w:val="en-CA"/>
        </w:rPr>
      </w:pPr>
      <w:r w:rsidRPr="001D386B"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a </w:t>
      </w:r>
      <w:r w:rsidR="0070714C" w:rsidRPr="001D386B"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forecast revenue requirement for the </w:t>
      </w:r>
      <w:r w:rsidR="00C51CD6" w:rsidRPr="001D386B">
        <w:rPr>
          <w:rFonts w:asciiTheme="majorHAnsi" w:hAnsiTheme="majorHAnsi" w:cstheme="majorHAnsi"/>
          <w:spacing w:val="-1"/>
          <w:sz w:val="28"/>
          <w:szCs w:val="28"/>
          <w:lang w:val="en-CA"/>
        </w:rPr>
        <w:t>202</w:t>
      </w:r>
      <w:r w:rsidR="00C51CD6">
        <w:rPr>
          <w:rFonts w:asciiTheme="majorHAnsi" w:hAnsiTheme="majorHAnsi" w:cstheme="majorHAnsi"/>
          <w:spacing w:val="-1"/>
          <w:sz w:val="28"/>
          <w:szCs w:val="28"/>
          <w:lang w:val="en-CA"/>
        </w:rPr>
        <w:t>5</w:t>
      </w:r>
      <w:r w:rsidR="0070714C" w:rsidRPr="001D386B">
        <w:rPr>
          <w:rFonts w:asciiTheme="majorHAnsi" w:hAnsiTheme="majorHAnsi" w:cstheme="majorHAnsi"/>
          <w:spacing w:val="-1"/>
          <w:sz w:val="28"/>
          <w:szCs w:val="28"/>
          <w:lang w:val="en-CA"/>
        </w:rPr>
        <w:t>/2</w:t>
      </w:r>
      <w:r w:rsidR="00C51CD6">
        <w:rPr>
          <w:rFonts w:asciiTheme="majorHAnsi" w:hAnsiTheme="majorHAnsi" w:cstheme="majorHAnsi"/>
          <w:spacing w:val="-1"/>
          <w:sz w:val="28"/>
          <w:szCs w:val="28"/>
          <w:lang w:val="en-CA"/>
        </w:rPr>
        <w:t>6</w:t>
      </w:r>
      <w:r w:rsidR="0070714C" w:rsidRPr="001D386B"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 test year of $1</w:t>
      </w:r>
      <w:r w:rsidR="00C51CD6">
        <w:rPr>
          <w:rFonts w:asciiTheme="majorHAnsi" w:hAnsiTheme="majorHAnsi" w:cstheme="majorHAnsi"/>
          <w:spacing w:val="-1"/>
          <w:sz w:val="28"/>
          <w:szCs w:val="28"/>
          <w:lang w:val="en-CA"/>
        </w:rPr>
        <w:t>83.9</w:t>
      </w:r>
      <w:r w:rsidR="0070714C" w:rsidRPr="001D386B"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 million, which would result in a shortfall of $</w:t>
      </w:r>
      <w:r w:rsidR="001F264D">
        <w:rPr>
          <w:rFonts w:asciiTheme="majorHAnsi" w:hAnsiTheme="majorHAnsi" w:cstheme="majorHAnsi"/>
          <w:spacing w:val="-1"/>
          <w:sz w:val="28"/>
          <w:szCs w:val="28"/>
          <w:lang w:val="en-CA"/>
        </w:rPr>
        <w:t>21.5</w:t>
      </w:r>
      <w:r w:rsidR="0070714C" w:rsidRPr="001D386B"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 million based on </w:t>
      </w:r>
      <w:r w:rsidRPr="001D386B"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revenue at </w:t>
      </w:r>
      <w:r w:rsidR="0070714C" w:rsidRPr="001D386B">
        <w:rPr>
          <w:rFonts w:asciiTheme="majorHAnsi" w:hAnsiTheme="majorHAnsi" w:cstheme="majorHAnsi"/>
          <w:spacing w:val="-1"/>
          <w:sz w:val="28"/>
          <w:szCs w:val="28"/>
          <w:lang w:val="en-CA"/>
        </w:rPr>
        <w:t>existing rates</w:t>
      </w:r>
      <w:r w:rsidR="001F264D"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 (QEC has considered existing rates to be those approved in the 2022/23 GRA Base Rate Adjustment plus the current FSR rate that will expire on March 31, 2025)</w:t>
      </w:r>
    </w:p>
    <w:p w14:paraId="787F5050" w14:textId="4B6A3362" w:rsidR="001D386B" w:rsidRDefault="00C51CD6" w:rsidP="001D386B">
      <w:pPr>
        <w:pStyle w:val="ListParagraph"/>
        <w:numPr>
          <w:ilvl w:val="0"/>
          <w:numId w:val="3"/>
        </w:numPr>
        <w:jc w:val="both"/>
        <w:rPr>
          <w:rFonts w:asciiTheme="majorHAnsi" w:hAnsiTheme="majorHAnsi" w:cstheme="majorHAnsi"/>
          <w:spacing w:val="-1"/>
          <w:sz w:val="28"/>
          <w:szCs w:val="28"/>
          <w:lang w:val="en-CA"/>
        </w:rPr>
      </w:pPr>
      <w:r>
        <w:rPr>
          <w:rFonts w:asciiTheme="majorHAnsi" w:hAnsiTheme="majorHAnsi" w:cstheme="majorHAnsi"/>
          <w:spacing w:val="-1"/>
          <w:sz w:val="28"/>
          <w:szCs w:val="28"/>
          <w:lang w:val="en-CA"/>
        </w:rPr>
        <w:t>maintenance of the</w:t>
      </w:r>
      <w:r w:rsidR="001D386B" w:rsidRPr="001D386B"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 existing </w:t>
      </w:r>
      <w:r w:rsidRPr="001D386B"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territory-wide levelized rate structure </w:t>
      </w:r>
      <w:r w:rsidR="001D386B" w:rsidRPr="001D386B">
        <w:rPr>
          <w:rFonts w:asciiTheme="majorHAnsi" w:hAnsiTheme="majorHAnsi" w:cstheme="majorHAnsi"/>
          <w:spacing w:val="-1"/>
          <w:sz w:val="28"/>
          <w:szCs w:val="28"/>
          <w:lang w:val="en-CA"/>
        </w:rPr>
        <w:t>(sometimes referred to as ‘postage stamp rates</w:t>
      </w:r>
      <w:r w:rsidR="00734C20">
        <w:rPr>
          <w:rFonts w:asciiTheme="majorHAnsi" w:hAnsiTheme="majorHAnsi" w:cstheme="majorHAnsi"/>
          <w:spacing w:val="-1"/>
          <w:sz w:val="28"/>
          <w:szCs w:val="28"/>
          <w:lang w:val="en-CA"/>
        </w:rPr>
        <w:t>’)</w:t>
      </w:r>
      <w:r w:rsidR="007A176F">
        <w:rPr>
          <w:rFonts w:asciiTheme="majorHAnsi" w:hAnsiTheme="majorHAnsi" w:cstheme="majorHAnsi"/>
          <w:spacing w:val="-1"/>
          <w:sz w:val="28"/>
          <w:szCs w:val="28"/>
          <w:lang w:val="en-CA"/>
        </w:rPr>
        <w:t>,</w:t>
      </w:r>
    </w:p>
    <w:p w14:paraId="4EC4FEDF" w14:textId="500B02EB" w:rsidR="001F264D" w:rsidRDefault="001F264D" w:rsidP="001D386B">
      <w:pPr>
        <w:pStyle w:val="ListParagraph"/>
        <w:numPr>
          <w:ilvl w:val="0"/>
          <w:numId w:val="3"/>
        </w:numPr>
        <w:jc w:val="both"/>
        <w:rPr>
          <w:rFonts w:asciiTheme="majorHAnsi" w:hAnsiTheme="majorHAnsi" w:cstheme="majorHAnsi"/>
          <w:spacing w:val="-1"/>
          <w:sz w:val="28"/>
          <w:szCs w:val="28"/>
          <w:lang w:val="en-CA"/>
        </w:rPr>
      </w:pPr>
      <w:r>
        <w:rPr>
          <w:rFonts w:asciiTheme="majorHAnsi" w:hAnsiTheme="majorHAnsi" w:cstheme="majorHAnsi"/>
          <w:spacing w:val="-1"/>
          <w:sz w:val="28"/>
          <w:szCs w:val="28"/>
          <w:lang w:val="en-CA"/>
        </w:rPr>
        <w:t>a</w:t>
      </w:r>
      <w:r w:rsidR="00327DD3"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 two-fold </w:t>
      </w:r>
      <w:r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increase in </w:t>
      </w:r>
      <w:r w:rsidR="009A3E72"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monthly </w:t>
      </w:r>
      <w:r>
        <w:rPr>
          <w:rFonts w:asciiTheme="majorHAnsi" w:hAnsiTheme="majorHAnsi" w:cstheme="majorHAnsi"/>
          <w:spacing w:val="-1"/>
          <w:sz w:val="28"/>
          <w:szCs w:val="28"/>
          <w:lang w:val="en-CA"/>
        </w:rPr>
        <w:t>customer</w:t>
      </w:r>
      <w:r w:rsidR="009A3E72"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 service charges</w:t>
      </w:r>
      <w:r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 and </w:t>
      </w:r>
      <w:r w:rsidR="009A3E72"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monthly </w:t>
      </w:r>
      <w:r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demand </w:t>
      </w:r>
      <w:r w:rsidR="009A3E72"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service </w:t>
      </w:r>
      <w:r>
        <w:rPr>
          <w:rFonts w:asciiTheme="majorHAnsi" w:hAnsiTheme="majorHAnsi" w:cstheme="majorHAnsi"/>
          <w:spacing w:val="-1"/>
          <w:sz w:val="28"/>
          <w:szCs w:val="28"/>
          <w:lang w:val="en-CA"/>
        </w:rPr>
        <w:t>charges</w:t>
      </w:r>
    </w:p>
    <w:p w14:paraId="1AAFB90F" w14:textId="51D32EE8" w:rsidR="005C184B" w:rsidRPr="001D386B" w:rsidRDefault="005C184B" w:rsidP="005C184B">
      <w:pPr>
        <w:pStyle w:val="ListParagraph"/>
        <w:numPr>
          <w:ilvl w:val="0"/>
          <w:numId w:val="3"/>
        </w:numPr>
        <w:jc w:val="both"/>
        <w:rPr>
          <w:rFonts w:asciiTheme="majorHAnsi" w:hAnsiTheme="majorHAnsi" w:cstheme="majorHAnsi"/>
          <w:spacing w:val="-1"/>
          <w:sz w:val="28"/>
          <w:szCs w:val="28"/>
          <w:lang w:val="en-CA"/>
        </w:rPr>
      </w:pPr>
      <w:r w:rsidRPr="001D386B"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an average increase in </w:t>
      </w:r>
      <w:r w:rsidR="00C51CD6"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energy </w:t>
      </w:r>
      <w:r w:rsidRPr="001D386B"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rates </w:t>
      </w:r>
      <w:r w:rsidR="00C51CD6">
        <w:rPr>
          <w:rFonts w:asciiTheme="majorHAnsi" w:hAnsiTheme="majorHAnsi" w:cstheme="majorHAnsi"/>
          <w:spacing w:val="-1"/>
          <w:sz w:val="28"/>
          <w:szCs w:val="28"/>
          <w:lang w:val="en-CA"/>
        </w:rPr>
        <w:t>of</w:t>
      </w:r>
      <w:r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 </w:t>
      </w:r>
      <w:r w:rsidR="00BF5D72">
        <w:rPr>
          <w:rFonts w:asciiTheme="majorHAnsi" w:hAnsiTheme="majorHAnsi" w:cstheme="majorHAnsi"/>
          <w:spacing w:val="-1"/>
          <w:sz w:val="28"/>
          <w:szCs w:val="28"/>
          <w:lang w:val="en-CA"/>
        </w:rPr>
        <w:t>9.5</w:t>
      </w:r>
      <w:r w:rsidRPr="001D386B"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% </w:t>
      </w:r>
      <w:r w:rsidR="00A074F8">
        <w:rPr>
          <w:rFonts w:asciiTheme="majorHAnsi" w:hAnsiTheme="majorHAnsi" w:cstheme="majorHAnsi"/>
          <w:spacing w:val="-1"/>
          <w:sz w:val="28"/>
          <w:szCs w:val="28"/>
          <w:lang w:val="en-CA"/>
        </w:rPr>
        <w:t>for</w:t>
      </w:r>
      <w:r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 </w:t>
      </w:r>
      <w:r w:rsidR="00535FAD">
        <w:rPr>
          <w:rFonts w:asciiTheme="majorHAnsi" w:hAnsiTheme="majorHAnsi" w:cstheme="majorHAnsi"/>
          <w:spacing w:val="-1"/>
          <w:sz w:val="28"/>
          <w:szCs w:val="28"/>
          <w:lang w:val="en-CA"/>
        </w:rPr>
        <w:t>domestic and</w:t>
      </w:r>
      <w:r w:rsidR="00BF5D72"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 commercial</w:t>
      </w:r>
      <w:r w:rsidR="00535FAD"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 </w:t>
      </w:r>
      <w:r w:rsidR="008B1AC4">
        <w:rPr>
          <w:rFonts w:asciiTheme="majorHAnsi" w:hAnsiTheme="majorHAnsi" w:cstheme="majorHAnsi"/>
          <w:spacing w:val="-1"/>
          <w:sz w:val="28"/>
          <w:szCs w:val="28"/>
          <w:lang w:val="en-CA"/>
        </w:rPr>
        <w:t>customers</w:t>
      </w:r>
      <w:r w:rsidR="00327DD3">
        <w:rPr>
          <w:rFonts w:asciiTheme="majorHAnsi" w:hAnsiTheme="majorHAnsi" w:cstheme="majorHAnsi"/>
          <w:spacing w:val="-1"/>
          <w:sz w:val="28"/>
          <w:szCs w:val="28"/>
          <w:lang w:val="en-CA"/>
        </w:rPr>
        <w:t>,</w:t>
      </w:r>
      <w:r w:rsidR="00BF5D72"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 and </w:t>
      </w:r>
      <w:r w:rsidR="00C94C22"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12.9% for </w:t>
      </w:r>
      <w:r w:rsidR="00BF5D72">
        <w:rPr>
          <w:rFonts w:asciiTheme="majorHAnsi" w:hAnsiTheme="majorHAnsi" w:cstheme="majorHAnsi"/>
          <w:spacing w:val="-1"/>
          <w:sz w:val="28"/>
          <w:szCs w:val="28"/>
          <w:lang w:val="en-CA"/>
        </w:rPr>
        <w:t>streetlight</w:t>
      </w:r>
      <w:r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 </w:t>
      </w:r>
      <w:r w:rsidR="00A074F8">
        <w:rPr>
          <w:rFonts w:asciiTheme="majorHAnsi" w:hAnsiTheme="majorHAnsi" w:cstheme="majorHAnsi"/>
          <w:spacing w:val="-1"/>
          <w:sz w:val="28"/>
          <w:szCs w:val="28"/>
          <w:lang w:val="en-CA"/>
        </w:rPr>
        <w:t>customers,</w:t>
      </w:r>
    </w:p>
    <w:p w14:paraId="3612EB6A" w14:textId="694278D7" w:rsidR="007A176F" w:rsidRPr="001D386B" w:rsidRDefault="007A176F" w:rsidP="001D386B">
      <w:pPr>
        <w:pStyle w:val="ListParagraph"/>
        <w:numPr>
          <w:ilvl w:val="0"/>
          <w:numId w:val="3"/>
        </w:numPr>
        <w:jc w:val="both"/>
        <w:rPr>
          <w:rFonts w:asciiTheme="majorHAnsi" w:hAnsiTheme="majorHAnsi" w:cstheme="majorHAnsi"/>
          <w:spacing w:val="-1"/>
          <w:sz w:val="28"/>
          <w:szCs w:val="28"/>
          <w:lang w:val="en-CA"/>
        </w:rPr>
      </w:pPr>
      <w:r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new rates to be implemented </w:t>
      </w:r>
      <w:r w:rsidR="00BF5D72"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based on the April </w:t>
      </w:r>
      <w:r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1, </w:t>
      </w:r>
      <w:proofErr w:type="gramStart"/>
      <w:r w:rsidR="00BF5D72">
        <w:rPr>
          <w:rFonts w:asciiTheme="majorHAnsi" w:hAnsiTheme="majorHAnsi" w:cstheme="majorHAnsi"/>
          <w:spacing w:val="-1"/>
          <w:sz w:val="28"/>
          <w:szCs w:val="28"/>
          <w:lang w:val="en-CA"/>
        </w:rPr>
        <w:t>2025/26</w:t>
      </w:r>
      <w:proofErr w:type="gramEnd"/>
      <w:r w:rsidR="00BF5D72"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 test year (QEC stated its intention to submit a subsequent application for interim rates to cover the time between April 1, 2025 and the approval of final 2025/26 rates)</w:t>
      </w:r>
      <w:r>
        <w:rPr>
          <w:rFonts w:asciiTheme="majorHAnsi" w:hAnsiTheme="majorHAnsi" w:cstheme="majorHAnsi"/>
          <w:spacing w:val="-1"/>
          <w:sz w:val="28"/>
          <w:szCs w:val="28"/>
          <w:lang w:val="en-CA"/>
        </w:rPr>
        <w:t>.</w:t>
      </w:r>
    </w:p>
    <w:p w14:paraId="7026B93F" w14:textId="77777777" w:rsidR="001D386B" w:rsidRDefault="001D386B" w:rsidP="004F1F17">
      <w:pPr>
        <w:jc w:val="both"/>
      </w:pPr>
    </w:p>
    <w:p w14:paraId="7A888BE2" w14:textId="7038EC8B" w:rsidR="00E236F5" w:rsidRPr="00E236F5" w:rsidRDefault="00E236F5" w:rsidP="004F1F17">
      <w:pPr>
        <w:jc w:val="both"/>
        <w:rPr>
          <w:rFonts w:asciiTheme="majorHAnsi" w:hAnsiTheme="majorHAnsi" w:cstheme="majorHAnsi"/>
          <w:spacing w:val="-1"/>
          <w:sz w:val="28"/>
          <w:szCs w:val="28"/>
          <w:lang w:val="en-CA"/>
        </w:rPr>
      </w:pPr>
      <w:r w:rsidRPr="00E236F5">
        <w:rPr>
          <w:rFonts w:asciiTheme="majorHAnsi" w:hAnsiTheme="majorHAnsi" w:cstheme="majorHAnsi"/>
          <w:spacing w:val="-1"/>
          <w:sz w:val="28"/>
          <w:szCs w:val="28"/>
          <w:lang w:val="en-CA"/>
        </w:rPr>
        <w:t>The forecast revenue requirement of $</w:t>
      </w:r>
      <w:r w:rsidR="00BF5D72">
        <w:rPr>
          <w:rFonts w:asciiTheme="majorHAnsi" w:hAnsiTheme="majorHAnsi" w:cstheme="majorHAnsi"/>
          <w:spacing w:val="-1"/>
          <w:sz w:val="28"/>
          <w:szCs w:val="28"/>
          <w:lang w:val="en-CA"/>
        </w:rPr>
        <w:t>183.9</w:t>
      </w:r>
      <w:r w:rsidRPr="00E236F5"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 million is about $</w:t>
      </w:r>
      <w:r w:rsidR="00BF5D72">
        <w:rPr>
          <w:rFonts w:asciiTheme="majorHAnsi" w:hAnsiTheme="majorHAnsi" w:cstheme="majorHAnsi"/>
          <w:spacing w:val="-1"/>
          <w:sz w:val="28"/>
          <w:szCs w:val="28"/>
          <w:lang w:val="en-CA"/>
        </w:rPr>
        <w:t>40.0</w:t>
      </w:r>
      <w:r w:rsidRPr="00E236F5"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 million higher than </w:t>
      </w:r>
      <w:r w:rsidR="00FD74E6">
        <w:rPr>
          <w:rFonts w:asciiTheme="majorHAnsi" w:hAnsiTheme="majorHAnsi" w:cstheme="majorHAnsi"/>
          <w:spacing w:val="-1"/>
          <w:sz w:val="28"/>
          <w:szCs w:val="28"/>
          <w:lang w:val="en-CA"/>
        </w:rPr>
        <w:t>that requested in the</w:t>
      </w:r>
      <w:r w:rsidR="00FD74E6" w:rsidRPr="00E236F5"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 </w:t>
      </w:r>
      <w:r w:rsidR="00BF5D72"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original </w:t>
      </w:r>
      <w:r w:rsidR="00BF5D72" w:rsidRPr="00E236F5">
        <w:rPr>
          <w:rFonts w:asciiTheme="majorHAnsi" w:hAnsiTheme="majorHAnsi" w:cstheme="majorHAnsi"/>
          <w:spacing w:val="-1"/>
          <w:sz w:val="28"/>
          <w:szCs w:val="28"/>
          <w:lang w:val="en-CA"/>
        </w:rPr>
        <w:t>20</w:t>
      </w:r>
      <w:r w:rsidR="00BF5D72">
        <w:rPr>
          <w:rFonts w:asciiTheme="majorHAnsi" w:hAnsiTheme="majorHAnsi" w:cstheme="majorHAnsi"/>
          <w:spacing w:val="-1"/>
          <w:sz w:val="28"/>
          <w:szCs w:val="28"/>
          <w:lang w:val="en-CA"/>
        </w:rPr>
        <w:t>22</w:t>
      </w:r>
      <w:r w:rsidRPr="00E236F5">
        <w:rPr>
          <w:rFonts w:asciiTheme="majorHAnsi" w:hAnsiTheme="majorHAnsi" w:cstheme="majorHAnsi"/>
          <w:spacing w:val="-1"/>
          <w:sz w:val="28"/>
          <w:szCs w:val="28"/>
          <w:lang w:val="en-CA"/>
        </w:rPr>
        <w:t>/</w:t>
      </w:r>
      <w:r w:rsidR="00BF5D72">
        <w:rPr>
          <w:rFonts w:asciiTheme="majorHAnsi" w:hAnsiTheme="majorHAnsi" w:cstheme="majorHAnsi"/>
          <w:spacing w:val="-1"/>
          <w:sz w:val="28"/>
          <w:szCs w:val="28"/>
          <w:lang w:val="en-CA"/>
        </w:rPr>
        <w:t>23</w:t>
      </w:r>
      <w:r w:rsidR="00BF5D72" w:rsidRPr="00E236F5"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 </w:t>
      </w:r>
      <w:r w:rsidRPr="00E236F5">
        <w:rPr>
          <w:rFonts w:asciiTheme="majorHAnsi" w:hAnsiTheme="majorHAnsi" w:cstheme="majorHAnsi"/>
          <w:spacing w:val="-1"/>
          <w:sz w:val="28"/>
          <w:szCs w:val="28"/>
          <w:lang w:val="en-CA"/>
        </w:rPr>
        <w:t>GRA</w:t>
      </w:r>
      <w:r w:rsidR="00327DD3"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, and </w:t>
      </w:r>
      <w:r w:rsidR="00BF5D72">
        <w:rPr>
          <w:rFonts w:asciiTheme="majorHAnsi" w:hAnsiTheme="majorHAnsi" w:cstheme="majorHAnsi"/>
          <w:spacing w:val="-1"/>
          <w:sz w:val="28"/>
          <w:szCs w:val="28"/>
          <w:lang w:val="en-CA"/>
        </w:rPr>
        <w:t>$27.3 higher than the 2022/23 GRA</w:t>
      </w:r>
      <w:r w:rsidR="007A36A2"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 Base Rate Adjustment</w:t>
      </w:r>
      <w:r w:rsidR="00BF5D72"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, effective October 1, 2023, which incorporated higher fuel costs. </w:t>
      </w:r>
      <w:r w:rsidR="00A33032"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The increase of $27.3 million since the GRA </w:t>
      </w:r>
      <w:r w:rsidR="007A36A2"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Base Rate Adjustment </w:t>
      </w:r>
      <w:r w:rsidR="00A33032">
        <w:rPr>
          <w:rFonts w:asciiTheme="majorHAnsi" w:hAnsiTheme="majorHAnsi" w:cstheme="majorHAnsi"/>
          <w:spacing w:val="-1"/>
          <w:sz w:val="28"/>
          <w:szCs w:val="28"/>
          <w:lang w:val="en-CA"/>
        </w:rPr>
        <w:t>is</w:t>
      </w:r>
      <w:r w:rsidR="00BF5D72"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 </w:t>
      </w:r>
      <w:r w:rsidRPr="00E236F5">
        <w:rPr>
          <w:rFonts w:asciiTheme="majorHAnsi" w:hAnsiTheme="majorHAnsi" w:cstheme="majorHAnsi"/>
          <w:spacing w:val="-1"/>
          <w:sz w:val="28"/>
          <w:szCs w:val="28"/>
          <w:lang w:val="en-CA"/>
        </w:rPr>
        <w:t>primarily due to</w:t>
      </w:r>
      <w:r w:rsidR="006200C5">
        <w:rPr>
          <w:rFonts w:asciiTheme="majorHAnsi" w:hAnsiTheme="majorHAnsi" w:cstheme="majorHAnsi"/>
          <w:spacing w:val="-1"/>
          <w:sz w:val="28"/>
          <w:szCs w:val="28"/>
          <w:lang w:val="en-CA"/>
        </w:rPr>
        <w:t>:</w:t>
      </w:r>
      <w:r w:rsidRPr="00E236F5"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 increases in non-fuel operation and maintenance expenses ($</w:t>
      </w:r>
      <w:r w:rsidR="00A33032">
        <w:rPr>
          <w:rFonts w:asciiTheme="majorHAnsi" w:hAnsiTheme="majorHAnsi" w:cstheme="majorHAnsi"/>
          <w:spacing w:val="-1"/>
          <w:sz w:val="28"/>
          <w:szCs w:val="28"/>
          <w:lang w:val="en-CA"/>
        </w:rPr>
        <w:t>19.3</w:t>
      </w:r>
      <w:r w:rsidRPr="00E236F5"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 million), production fuel ($</w:t>
      </w:r>
      <w:r w:rsidR="00A33032">
        <w:rPr>
          <w:rFonts w:asciiTheme="majorHAnsi" w:hAnsiTheme="majorHAnsi" w:cstheme="majorHAnsi"/>
          <w:spacing w:val="-1"/>
          <w:sz w:val="28"/>
          <w:szCs w:val="28"/>
          <w:lang w:val="en-CA"/>
        </w:rPr>
        <w:t>5.9</w:t>
      </w:r>
      <w:r w:rsidRPr="00E236F5"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 million), and </w:t>
      </w:r>
      <w:r w:rsidR="007A36A2"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return on rate base ($4.3 million), partially offset by lower </w:t>
      </w:r>
      <w:r w:rsidRPr="00E236F5">
        <w:rPr>
          <w:rFonts w:asciiTheme="majorHAnsi" w:hAnsiTheme="majorHAnsi" w:cstheme="majorHAnsi"/>
          <w:spacing w:val="-1"/>
          <w:sz w:val="28"/>
          <w:szCs w:val="28"/>
          <w:lang w:val="en-CA"/>
        </w:rPr>
        <w:t>fixed asse</w:t>
      </w:r>
      <w:r w:rsidR="00FD74E6">
        <w:rPr>
          <w:rFonts w:asciiTheme="majorHAnsi" w:hAnsiTheme="majorHAnsi" w:cstheme="majorHAnsi"/>
          <w:spacing w:val="-1"/>
          <w:sz w:val="28"/>
          <w:szCs w:val="28"/>
          <w:lang w:val="en-CA"/>
        </w:rPr>
        <w:t>t</w:t>
      </w:r>
      <w:r w:rsidRPr="00E236F5"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 amortization ($</w:t>
      </w:r>
      <w:r w:rsidR="00A33032">
        <w:rPr>
          <w:rFonts w:asciiTheme="majorHAnsi" w:hAnsiTheme="majorHAnsi" w:cstheme="majorHAnsi"/>
          <w:spacing w:val="-1"/>
          <w:sz w:val="28"/>
          <w:szCs w:val="28"/>
          <w:lang w:val="en-CA"/>
        </w:rPr>
        <w:t>2.</w:t>
      </w:r>
      <w:r w:rsidR="005C6EA9">
        <w:rPr>
          <w:rFonts w:asciiTheme="majorHAnsi" w:hAnsiTheme="majorHAnsi" w:cstheme="majorHAnsi"/>
          <w:spacing w:val="-1"/>
          <w:sz w:val="28"/>
          <w:szCs w:val="28"/>
          <w:lang w:val="en-CA"/>
        </w:rPr>
        <w:t>1</w:t>
      </w:r>
      <w:r w:rsidRPr="00E236F5"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 million).</w:t>
      </w:r>
      <w:r w:rsidR="00EE0428"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 </w:t>
      </w:r>
      <w:r w:rsidRPr="00E236F5"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The increase in costs is </w:t>
      </w:r>
      <w:r w:rsidR="007A36A2"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also </w:t>
      </w:r>
      <w:r w:rsidRPr="00E236F5">
        <w:rPr>
          <w:rFonts w:asciiTheme="majorHAnsi" w:hAnsiTheme="majorHAnsi" w:cstheme="majorHAnsi"/>
          <w:spacing w:val="-1"/>
          <w:sz w:val="28"/>
          <w:szCs w:val="28"/>
          <w:lang w:val="en-CA"/>
        </w:rPr>
        <w:t>offset by higher revenues at existing rates ($</w:t>
      </w:r>
      <w:r w:rsidR="00A33032">
        <w:rPr>
          <w:rFonts w:asciiTheme="majorHAnsi" w:hAnsiTheme="majorHAnsi" w:cstheme="majorHAnsi"/>
          <w:spacing w:val="-1"/>
          <w:sz w:val="28"/>
          <w:szCs w:val="28"/>
          <w:lang w:val="en-CA"/>
        </w:rPr>
        <w:t>2.4</w:t>
      </w:r>
      <w:r w:rsidRPr="00E236F5"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 million</w:t>
      </w:r>
      <w:r w:rsidR="00A33032"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 </w:t>
      </w:r>
      <w:r w:rsidRPr="00E236F5">
        <w:rPr>
          <w:rFonts w:asciiTheme="majorHAnsi" w:hAnsiTheme="majorHAnsi" w:cstheme="majorHAnsi"/>
          <w:spacing w:val="-1"/>
          <w:sz w:val="28"/>
          <w:szCs w:val="28"/>
          <w:lang w:val="en-CA"/>
        </w:rPr>
        <w:t>primarily due to load growth</w:t>
      </w:r>
      <w:r w:rsidR="00A33032">
        <w:rPr>
          <w:rFonts w:asciiTheme="majorHAnsi" w:hAnsiTheme="majorHAnsi" w:cstheme="majorHAnsi"/>
          <w:spacing w:val="-1"/>
          <w:sz w:val="28"/>
          <w:szCs w:val="28"/>
          <w:lang w:val="en-CA"/>
        </w:rPr>
        <w:t>)</w:t>
      </w:r>
      <w:r w:rsidR="00736B28">
        <w:rPr>
          <w:rFonts w:asciiTheme="majorHAnsi" w:hAnsiTheme="majorHAnsi" w:cstheme="majorHAnsi"/>
          <w:spacing w:val="-1"/>
          <w:sz w:val="28"/>
          <w:szCs w:val="28"/>
          <w:lang w:val="en-CA"/>
        </w:rPr>
        <w:t>, higher non-electrical revenues ($0.9 million)</w:t>
      </w:r>
      <w:r w:rsidR="00A33032"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 and </w:t>
      </w:r>
      <w:r w:rsidR="00A33032">
        <w:rPr>
          <w:rFonts w:asciiTheme="majorHAnsi" w:hAnsiTheme="majorHAnsi" w:cstheme="majorHAnsi"/>
          <w:spacing w:val="-1"/>
          <w:sz w:val="28"/>
          <w:szCs w:val="28"/>
          <w:lang w:val="en-CA"/>
        </w:rPr>
        <w:lastRenderedPageBreak/>
        <w:t xml:space="preserve">amounts </w:t>
      </w:r>
      <w:r w:rsidR="00347BB7"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that would be </w:t>
      </w:r>
      <w:r w:rsidR="00A33032"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collected </w:t>
      </w:r>
      <w:r w:rsidR="00C569E3"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if </w:t>
      </w:r>
      <w:r w:rsidR="00A33032"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the FSR </w:t>
      </w:r>
      <w:r w:rsidR="00C569E3"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remained in place </w:t>
      </w:r>
      <w:r w:rsidR="00A33032">
        <w:rPr>
          <w:rFonts w:asciiTheme="majorHAnsi" w:hAnsiTheme="majorHAnsi" w:cstheme="majorHAnsi"/>
          <w:spacing w:val="-1"/>
          <w:sz w:val="28"/>
          <w:szCs w:val="28"/>
          <w:lang w:val="en-CA"/>
        </w:rPr>
        <w:t>($</w:t>
      </w:r>
      <w:r w:rsidR="00347BB7">
        <w:rPr>
          <w:rFonts w:asciiTheme="majorHAnsi" w:hAnsiTheme="majorHAnsi" w:cstheme="majorHAnsi"/>
          <w:spacing w:val="-1"/>
          <w:sz w:val="28"/>
          <w:szCs w:val="28"/>
          <w:lang w:val="en-CA"/>
        </w:rPr>
        <w:t>2.5</w:t>
      </w:r>
      <w:r w:rsidR="00A33032"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 million)</w:t>
      </w:r>
      <w:r w:rsidRPr="00E236F5"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. </w:t>
      </w:r>
      <w:r w:rsidR="007A36A2">
        <w:rPr>
          <w:rFonts w:asciiTheme="majorHAnsi" w:hAnsiTheme="majorHAnsi" w:cstheme="majorHAnsi"/>
          <w:spacing w:val="-1"/>
          <w:sz w:val="28"/>
          <w:szCs w:val="28"/>
          <w:lang w:val="en-CA"/>
        </w:rPr>
        <w:t>A</w:t>
      </w:r>
      <w:r w:rsidRPr="00E236F5"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 </w:t>
      </w:r>
      <w:r w:rsidR="007A36A2"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revenue </w:t>
      </w:r>
      <w:r w:rsidRPr="00E236F5">
        <w:rPr>
          <w:rFonts w:asciiTheme="majorHAnsi" w:hAnsiTheme="majorHAnsi" w:cstheme="majorHAnsi"/>
          <w:spacing w:val="-1"/>
          <w:sz w:val="28"/>
          <w:szCs w:val="28"/>
          <w:lang w:val="en-CA"/>
        </w:rPr>
        <w:t>shortfall of $</w:t>
      </w:r>
      <w:r w:rsidR="00A33032">
        <w:rPr>
          <w:rFonts w:asciiTheme="majorHAnsi" w:hAnsiTheme="majorHAnsi" w:cstheme="majorHAnsi"/>
          <w:spacing w:val="-1"/>
          <w:sz w:val="28"/>
          <w:szCs w:val="28"/>
          <w:lang w:val="en-CA"/>
        </w:rPr>
        <w:t>21.5</w:t>
      </w:r>
      <w:r w:rsidRPr="00E236F5"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 million results from these forecast changes since the </w:t>
      </w:r>
      <w:r w:rsidR="00A33032" w:rsidRPr="00E236F5">
        <w:rPr>
          <w:rFonts w:asciiTheme="majorHAnsi" w:hAnsiTheme="majorHAnsi" w:cstheme="majorHAnsi"/>
          <w:spacing w:val="-1"/>
          <w:sz w:val="28"/>
          <w:szCs w:val="28"/>
          <w:lang w:val="en-CA"/>
        </w:rPr>
        <w:t>20</w:t>
      </w:r>
      <w:r w:rsidR="00A33032">
        <w:rPr>
          <w:rFonts w:asciiTheme="majorHAnsi" w:hAnsiTheme="majorHAnsi" w:cstheme="majorHAnsi"/>
          <w:spacing w:val="-1"/>
          <w:sz w:val="28"/>
          <w:szCs w:val="28"/>
          <w:lang w:val="en-CA"/>
        </w:rPr>
        <w:t>22</w:t>
      </w:r>
      <w:r w:rsidRPr="00E236F5">
        <w:rPr>
          <w:rFonts w:asciiTheme="majorHAnsi" w:hAnsiTheme="majorHAnsi" w:cstheme="majorHAnsi"/>
          <w:spacing w:val="-1"/>
          <w:sz w:val="28"/>
          <w:szCs w:val="28"/>
          <w:lang w:val="en-CA"/>
        </w:rPr>
        <w:t>/</w:t>
      </w:r>
      <w:r w:rsidR="00A33032">
        <w:rPr>
          <w:rFonts w:asciiTheme="majorHAnsi" w:hAnsiTheme="majorHAnsi" w:cstheme="majorHAnsi"/>
          <w:spacing w:val="-1"/>
          <w:sz w:val="28"/>
          <w:szCs w:val="28"/>
          <w:lang w:val="en-CA"/>
        </w:rPr>
        <w:t>23</w:t>
      </w:r>
      <w:r w:rsidR="00A33032" w:rsidRPr="00E236F5"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 </w:t>
      </w:r>
      <w:r w:rsidRPr="00E236F5">
        <w:rPr>
          <w:rFonts w:asciiTheme="majorHAnsi" w:hAnsiTheme="majorHAnsi" w:cstheme="majorHAnsi"/>
          <w:spacing w:val="-1"/>
          <w:sz w:val="28"/>
          <w:szCs w:val="28"/>
          <w:lang w:val="en-CA"/>
        </w:rPr>
        <w:t>GRA</w:t>
      </w:r>
      <w:r w:rsidR="007A36A2"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 Base Rate Adjustment</w:t>
      </w:r>
      <w:r w:rsidRPr="00E236F5"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. </w:t>
      </w:r>
    </w:p>
    <w:p w14:paraId="28E46B24" w14:textId="77777777" w:rsidR="00E236F5" w:rsidRDefault="00E236F5" w:rsidP="004F1F17">
      <w:pPr>
        <w:jc w:val="both"/>
      </w:pPr>
    </w:p>
    <w:p w14:paraId="5773033A" w14:textId="23FCBBCC" w:rsidR="00734C20" w:rsidRDefault="00734C20" w:rsidP="004F1F17">
      <w:pPr>
        <w:jc w:val="both"/>
        <w:rPr>
          <w:rFonts w:asciiTheme="majorHAnsi" w:hAnsiTheme="majorHAnsi" w:cstheme="majorHAnsi"/>
          <w:spacing w:val="-1"/>
          <w:sz w:val="28"/>
          <w:szCs w:val="28"/>
          <w:lang w:val="en-CA"/>
        </w:rPr>
      </w:pPr>
      <w:r w:rsidRPr="00734C20"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As noted above, QEC </w:t>
      </w:r>
      <w:r w:rsidR="00347BB7"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is maintaining the </w:t>
      </w:r>
      <w:r>
        <w:rPr>
          <w:rFonts w:asciiTheme="majorHAnsi" w:hAnsiTheme="majorHAnsi" w:cstheme="majorHAnsi"/>
          <w:spacing w:val="-1"/>
          <w:sz w:val="28"/>
          <w:szCs w:val="28"/>
          <w:lang w:val="en-CA"/>
        </w:rPr>
        <w:t>territory-</w:t>
      </w:r>
      <w:r w:rsidRPr="00734C20"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wide rates. </w:t>
      </w:r>
      <w:r>
        <w:rPr>
          <w:rFonts w:asciiTheme="majorHAnsi" w:hAnsiTheme="majorHAnsi" w:cstheme="majorHAnsi"/>
          <w:spacing w:val="-1"/>
          <w:sz w:val="28"/>
          <w:szCs w:val="28"/>
          <w:lang w:val="en-CA"/>
        </w:rPr>
        <w:t>Under territory-</w:t>
      </w:r>
      <w:r w:rsidRPr="00734C20"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wide rates, </w:t>
      </w:r>
      <w:r w:rsidRPr="001D386B">
        <w:rPr>
          <w:rFonts w:asciiTheme="majorHAnsi" w:hAnsiTheme="majorHAnsi" w:cstheme="majorHAnsi"/>
          <w:spacing w:val="-1"/>
          <w:sz w:val="28"/>
          <w:szCs w:val="28"/>
          <w:lang w:val="en-CA"/>
        </w:rPr>
        <w:t>all customers in the same rate class would pay the same rates, in all</w:t>
      </w:r>
      <w:r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 communities throughout Nunavut.</w:t>
      </w:r>
      <w:r w:rsidRPr="00734C20"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 </w:t>
      </w:r>
    </w:p>
    <w:p w14:paraId="753C8B38" w14:textId="77777777" w:rsidR="00734C20" w:rsidRDefault="00734C20" w:rsidP="004F1F17">
      <w:pPr>
        <w:jc w:val="both"/>
        <w:rPr>
          <w:rFonts w:asciiTheme="majorHAnsi" w:hAnsiTheme="majorHAnsi" w:cstheme="majorHAnsi"/>
          <w:spacing w:val="-1"/>
          <w:sz w:val="28"/>
          <w:szCs w:val="28"/>
          <w:lang w:val="en-CA"/>
        </w:rPr>
      </w:pPr>
    </w:p>
    <w:p w14:paraId="6690972C" w14:textId="61DC67A7" w:rsidR="00CF612A" w:rsidRDefault="00734C20" w:rsidP="004F1F17">
      <w:pPr>
        <w:jc w:val="both"/>
        <w:rPr>
          <w:rFonts w:asciiTheme="majorHAnsi" w:hAnsiTheme="majorHAnsi" w:cstheme="majorHAnsi"/>
          <w:spacing w:val="-1"/>
          <w:sz w:val="28"/>
          <w:szCs w:val="28"/>
          <w:lang w:val="en-CA"/>
        </w:rPr>
      </w:pPr>
      <w:r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QEC proposed to </w:t>
      </w:r>
      <w:r w:rsidR="00CF612A"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collect the </w:t>
      </w:r>
      <w:r w:rsidR="00347BB7"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$21.5 million </w:t>
      </w:r>
      <w:r w:rsidR="00947A05"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revenue </w:t>
      </w:r>
      <w:r w:rsidR="00CF612A"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shortfall by </w:t>
      </w:r>
      <w:r w:rsidR="00347BB7"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increasing </w:t>
      </w:r>
      <w:r>
        <w:rPr>
          <w:rFonts w:asciiTheme="majorHAnsi" w:hAnsiTheme="majorHAnsi" w:cstheme="majorHAnsi"/>
          <w:spacing w:val="-1"/>
          <w:sz w:val="28"/>
          <w:szCs w:val="28"/>
          <w:lang w:val="en-CA"/>
        </w:rPr>
        <w:t>base energy rates</w:t>
      </w:r>
      <w:r w:rsidR="00CF612A"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, </w:t>
      </w:r>
      <w:r w:rsidR="00347BB7"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and </w:t>
      </w:r>
      <w:r w:rsidR="00CF612A"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customer </w:t>
      </w:r>
      <w:r w:rsidR="00535FAD"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service </w:t>
      </w:r>
      <w:r w:rsidR="00CF612A"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and demand </w:t>
      </w:r>
      <w:r w:rsidR="00535FAD"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service </w:t>
      </w:r>
      <w:r w:rsidR="00CF612A"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charges. The average increase in base energy rates is </w:t>
      </w:r>
      <w:r w:rsidR="00347BB7">
        <w:rPr>
          <w:rFonts w:asciiTheme="majorHAnsi" w:hAnsiTheme="majorHAnsi" w:cstheme="majorHAnsi"/>
          <w:spacing w:val="-1"/>
          <w:sz w:val="28"/>
          <w:szCs w:val="28"/>
          <w:lang w:val="en-CA"/>
        </w:rPr>
        <w:t>9.5</w:t>
      </w:r>
      <w:r w:rsidR="00CF612A"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 %.</w:t>
      </w:r>
      <w:r w:rsidR="00B95873"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 </w:t>
      </w:r>
      <w:r w:rsidR="00347BB7"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Customer </w:t>
      </w:r>
      <w:r w:rsidR="00535FAD"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service </w:t>
      </w:r>
      <w:r w:rsidR="00347BB7"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charges are </w:t>
      </w:r>
      <w:r w:rsidR="00F60A45"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proposed to increase from $18 per month to $36 per month. Demand </w:t>
      </w:r>
      <w:r w:rsidR="00535FAD"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service </w:t>
      </w:r>
      <w:r w:rsidR="00F60A45"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charges are proposed to increase from $8 per kW to $16 per kW. </w:t>
      </w:r>
      <w:r w:rsidR="00E259EB">
        <w:rPr>
          <w:rFonts w:asciiTheme="majorHAnsi" w:hAnsiTheme="majorHAnsi" w:cstheme="majorHAnsi"/>
          <w:spacing w:val="-1"/>
          <w:sz w:val="28"/>
          <w:szCs w:val="28"/>
          <w:lang w:val="en-CA"/>
        </w:rPr>
        <w:t>For additional information about the changes to the different rate classes please refer to Schedule 8.1 (from the GRA application).</w:t>
      </w:r>
    </w:p>
    <w:p w14:paraId="01C9F6FB" w14:textId="77777777" w:rsidR="00B95873" w:rsidRDefault="00B95873" w:rsidP="004F1F17">
      <w:pPr>
        <w:jc w:val="both"/>
        <w:rPr>
          <w:rFonts w:asciiTheme="majorHAnsi" w:hAnsiTheme="majorHAnsi" w:cstheme="majorHAnsi"/>
          <w:spacing w:val="-1"/>
          <w:sz w:val="28"/>
          <w:szCs w:val="28"/>
          <w:lang w:val="en-CA"/>
        </w:rPr>
      </w:pPr>
    </w:p>
    <w:p w14:paraId="093C35BC" w14:textId="5C753A59" w:rsidR="00360CEE" w:rsidRDefault="00B95873" w:rsidP="00820D8D">
      <w:pPr>
        <w:jc w:val="both"/>
        <w:rPr>
          <w:rFonts w:asciiTheme="majorHAnsi" w:hAnsiTheme="majorHAnsi" w:cstheme="majorHAnsi"/>
          <w:spacing w:val="-1"/>
          <w:sz w:val="28"/>
          <w:szCs w:val="28"/>
          <w:lang w:val="en-CA"/>
        </w:rPr>
      </w:pPr>
      <w:r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The </w:t>
      </w:r>
      <w:r w:rsidR="00360CEE"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GRA application includes QEC’s estimates of the bill impacts for the </w:t>
      </w:r>
      <w:r w:rsidR="00360CEE" w:rsidRPr="00360CEE">
        <w:rPr>
          <w:rFonts w:asciiTheme="majorHAnsi" w:hAnsiTheme="majorHAnsi" w:cstheme="majorHAnsi"/>
          <w:spacing w:val="-1"/>
          <w:sz w:val="28"/>
          <w:szCs w:val="28"/>
          <w:lang w:val="en-CA"/>
        </w:rPr>
        <w:t>proposed rate</w:t>
      </w:r>
      <w:r w:rsidR="003A2565">
        <w:rPr>
          <w:rFonts w:asciiTheme="majorHAnsi" w:hAnsiTheme="majorHAnsi" w:cstheme="majorHAnsi"/>
          <w:spacing w:val="-1"/>
          <w:sz w:val="28"/>
          <w:szCs w:val="28"/>
          <w:lang w:val="en-CA"/>
        </w:rPr>
        <w:t>s</w:t>
      </w:r>
      <w:r w:rsidR="00360CEE"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, </w:t>
      </w:r>
      <w:r w:rsidR="00360CEE" w:rsidRPr="00360CEE"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assuming monthly consumptions of </w:t>
      </w:r>
      <w:r w:rsidR="003A2565">
        <w:rPr>
          <w:rFonts w:asciiTheme="majorHAnsi" w:hAnsiTheme="majorHAnsi" w:cstheme="majorHAnsi"/>
          <w:spacing w:val="-1"/>
          <w:sz w:val="28"/>
          <w:szCs w:val="28"/>
          <w:lang w:val="en-CA"/>
        </w:rPr>
        <w:t>500</w:t>
      </w:r>
      <w:r w:rsidR="00360CEE" w:rsidRPr="00360CEE"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 kWh for domestic customers and 2,000 kWh for commercial customers.</w:t>
      </w:r>
      <w:r w:rsidR="00360CEE"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 The table </w:t>
      </w:r>
      <w:r w:rsidR="0090692D"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shown </w:t>
      </w:r>
      <w:r w:rsidR="00360CEE">
        <w:rPr>
          <w:rFonts w:asciiTheme="majorHAnsi" w:hAnsiTheme="majorHAnsi" w:cstheme="majorHAnsi"/>
          <w:spacing w:val="-1"/>
          <w:sz w:val="28"/>
          <w:szCs w:val="28"/>
          <w:lang w:val="en-CA"/>
        </w:rPr>
        <w:t>below was provided by QEC in the application</w:t>
      </w:r>
      <w:r w:rsidR="005436ED"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 (Table 8.2)</w:t>
      </w:r>
      <w:r w:rsidR="0090692D">
        <w:rPr>
          <w:rFonts w:asciiTheme="majorHAnsi" w:hAnsiTheme="majorHAnsi" w:cstheme="majorHAnsi"/>
          <w:spacing w:val="-1"/>
          <w:sz w:val="28"/>
          <w:szCs w:val="28"/>
          <w:lang w:val="en-CA"/>
        </w:rPr>
        <w:t>, comparing the b</w:t>
      </w:r>
      <w:r w:rsidR="00360CEE" w:rsidRPr="00360CEE"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ill impacts from changing </w:t>
      </w:r>
      <w:r w:rsidR="0090692D"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to </w:t>
      </w:r>
      <w:r w:rsidR="00360CEE" w:rsidRPr="00360CEE"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the proposed </w:t>
      </w:r>
      <w:r w:rsidR="005436ED"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energy, customer and demand </w:t>
      </w:r>
      <w:r w:rsidR="00360CEE" w:rsidRPr="00360CEE">
        <w:rPr>
          <w:rFonts w:asciiTheme="majorHAnsi" w:hAnsiTheme="majorHAnsi" w:cstheme="majorHAnsi"/>
          <w:spacing w:val="-1"/>
          <w:sz w:val="28"/>
          <w:szCs w:val="28"/>
          <w:lang w:val="en-CA"/>
        </w:rPr>
        <w:t>rate</w:t>
      </w:r>
      <w:r w:rsidR="0090692D">
        <w:rPr>
          <w:rFonts w:asciiTheme="majorHAnsi" w:hAnsiTheme="majorHAnsi" w:cstheme="majorHAnsi"/>
          <w:spacing w:val="-1"/>
          <w:sz w:val="28"/>
          <w:szCs w:val="28"/>
          <w:lang w:val="en-CA"/>
        </w:rPr>
        <w:t>s</w:t>
      </w:r>
      <w:r w:rsidR="00360CEE" w:rsidRPr="00360CEE">
        <w:rPr>
          <w:rFonts w:asciiTheme="majorHAnsi" w:hAnsiTheme="majorHAnsi" w:cstheme="majorHAnsi"/>
          <w:spacing w:val="-1"/>
          <w:sz w:val="28"/>
          <w:szCs w:val="28"/>
          <w:lang w:val="en-CA"/>
        </w:rPr>
        <w:t xml:space="preserve"> under the assumed monthly consumptions</w:t>
      </w:r>
      <w:r w:rsidR="0090692D">
        <w:rPr>
          <w:rFonts w:asciiTheme="majorHAnsi" w:hAnsiTheme="majorHAnsi" w:cstheme="majorHAnsi"/>
          <w:spacing w:val="-1"/>
          <w:sz w:val="28"/>
          <w:szCs w:val="28"/>
          <w:lang w:val="en-CA"/>
        </w:rPr>
        <w:t>.</w:t>
      </w:r>
    </w:p>
    <w:p w14:paraId="55A611AE" w14:textId="77777777" w:rsidR="00360CEE" w:rsidRDefault="00360CEE" w:rsidP="00360CEE">
      <w:pPr>
        <w:rPr>
          <w:rFonts w:asciiTheme="majorHAnsi" w:hAnsiTheme="majorHAnsi" w:cstheme="majorHAnsi"/>
          <w:spacing w:val="-1"/>
          <w:sz w:val="28"/>
          <w:szCs w:val="28"/>
          <w:lang w:val="en-CA"/>
        </w:rPr>
      </w:pPr>
    </w:p>
    <w:p w14:paraId="5D651928" w14:textId="77777777" w:rsidR="003A2565" w:rsidRDefault="003A2565" w:rsidP="00360CEE">
      <w:pPr>
        <w:rPr>
          <w:rFonts w:asciiTheme="majorHAnsi" w:hAnsiTheme="majorHAnsi" w:cstheme="majorHAnsi"/>
          <w:spacing w:val="-1"/>
          <w:sz w:val="28"/>
          <w:szCs w:val="28"/>
          <w:lang w:val="en-CA"/>
        </w:rPr>
      </w:pPr>
    </w:p>
    <w:p w14:paraId="4B7FB474" w14:textId="77777777" w:rsidR="003A2565" w:rsidRPr="003A2565" w:rsidRDefault="003A2565" w:rsidP="00820D8D">
      <w:pPr>
        <w:ind w:left="740"/>
        <w:jc w:val="center"/>
        <w:rPr>
          <w:rFonts w:asciiTheme="majorHAnsi" w:hAnsiTheme="majorHAnsi" w:cstheme="majorHAnsi"/>
          <w:b/>
          <w:spacing w:val="-1"/>
          <w:sz w:val="28"/>
          <w:szCs w:val="28"/>
          <w:lang w:val="ca-ES"/>
        </w:rPr>
      </w:pPr>
      <w:r w:rsidRPr="003A2565">
        <w:rPr>
          <w:rFonts w:asciiTheme="majorHAnsi" w:hAnsiTheme="majorHAnsi" w:cstheme="majorHAnsi"/>
          <w:b/>
          <w:spacing w:val="-1"/>
          <w:sz w:val="28"/>
          <w:szCs w:val="28"/>
          <w:lang w:val="ca-ES"/>
        </w:rPr>
        <w:t>Table 8.2:</w:t>
      </w:r>
    </w:p>
    <w:p w14:paraId="7D3AA4B2" w14:textId="77777777" w:rsidR="003A2565" w:rsidRPr="003A2565" w:rsidRDefault="003A2565" w:rsidP="00820D8D">
      <w:pPr>
        <w:ind w:left="740"/>
        <w:jc w:val="center"/>
        <w:rPr>
          <w:rFonts w:asciiTheme="majorHAnsi" w:hAnsiTheme="majorHAnsi" w:cstheme="majorHAnsi"/>
          <w:b/>
          <w:spacing w:val="-1"/>
          <w:sz w:val="28"/>
          <w:szCs w:val="28"/>
          <w:lang w:val="ca-ES"/>
        </w:rPr>
      </w:pPr>
      <w:r w:rsidRPr="003A2565">
        <w:rPr>
          <w:rFonts w:asciiTheme="majorHAnsi" w:hAnsiTheme="majorHAnsi" w:cstheme="majorHAnsi"/>
          <w:b/>
          <w:spacing w:val="-1"/>
          <w:sz w:val="28"/>
          <w:szCs w:val="28"/>
          <w:lang w:val="ca-ES"/>
        </w:rPr>
        <w:t>2025/26 Rate Proposal Bill Impacts Over the Existing Rates</w:t>
      </w:r>
    </w:p>
    <w:p w14:paraId="4DCD49B5" w14:textId="77777777" w:rsidR="003A2565" w:rsidRPr="003A2565" w:rsidRDefault="003A2565" w:rsidP="003A2565">
      <w:pPr>
        <w:rPr>
          <w:rFonts w:asciiTheme="majorHAnsi" w:hAnsiTheme="majorHAnsi" w:cstheme="majorHAnsi"/>
          <w:b/>
          <w:spacing w:val="-1"/>
          <w:sz w:val="28"/>
          <w:szCs w:val="28"/>
          <w:lang w:val="ca-ES"/>
        </w:rPr>
      </w:pPr>
    </w:p>
    <w:tbl>
      <w:tblPr>
        <w:tblW w:w="0" w:type="auto"/>
        <w:tblInd w:w="1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3"/>
        <w:gridCol w:w="2563"/>
      </w:tblGrid>
      <w:tr w:rsidR="003A2565" w:rsidRPr="003A2565" w14:paraId="084A51C2" w14:textId="77777777" w:rsidTr="00820D8D">
        <w:trPr>
          <w:trHeight w:val="868"/>
        </w:trPr>
        <w:tc>
          <w:tcPr>
            <w:tcW w:w="3853" w:type="dxa"/>
          </w:tcPr>
          <w:p w14:paraId="57918722" w14:textId="77777777" w:rsidR="003A2565" w:rsidRPr="003A2565" w:rsidRDefault="003A2565" w:rsidP="003A2565">
            <w:pPr>
              <w:rPr>
                <w:rFonts w:asciiTheme="majorHAnsi" w:hAnsiTheme="majorHAnsi" w:cstheme="majorHAnsi"/>
                <w:spacing w:val="-1"/>
                <w:sz w:val="28"/>
                <w:szCs w:val="28"/>
                <w:lang w:val="ca-ES"/>
              </w:rPr>
            </w:pPr>
          </w:p>
        </w:tc>
        <w:tc>
          <w:tcPr>
            <w:tcW w:w="2563" w:type="dxa"/>
          </w:tcPr>
          <w:p w14:paraId="04FA1027" w14:textId="77777777" w:rsidR="003A2565" w:rsidRPr="003A2565" w:rsidRDefault="003A2565" w:rsidP="003A2565">
            <w:pPr>
              <w:rPr>
                <w:rFonts w:asciiTheme="majorHAnsi" w:hAnsiTheme="majorHAnsi" w:cstheme="majorHAnsi"/>
                <w:b/>
                <w:spacing w:val="-1"/>
                <w:sz w:val="28"/>
                <w:szCs w:val="28"/>
                <w:lang w:val="ca-ES"/>
              </w:rPr>
            </w:pPr>
            <w:r w:rsidRPr="003A2565">
              <w:rPr>
                <w:rFonts w:asciiTheme="majorHAnsi" w:hAnsiTheme="majorHAnsi" w:cstheme="majorHAnsi"/>
                <w:b/>
                <w:spacing w:val="-1"/>
                <w:sz w:val="28"/>
                <w:szCs w:val="28"/>
                <w:lang w:val="ca-ES"/>
              </w:rPr>
              <w:t>Average Bill Changes</w:t>
            </w:r>
          </w:p>
        </w:tc>
      </w:tr>
      <w:tr w:rsidR="003A2565" w:rsidRPr="003A2565" w14:paraId="241976B3" w14:textId="77777777" w:rsidTr="00820D8D">
        <w:trPr>
          <w:trHeight w:val="613"/>
        </w:trPr>
        <w:tc>
          <w:tcPr>
            <w:tcW w:w="3853" w:type="dxa"/>
          </w:tcPr>
          <w:p w14:paraId="262F2BB0" w14:textId="77777777" w:rsidR="003A2565" w:rsidRPr="003A2565" w:rsidRDefault="003A2565" w:rsidP="003A2565">
            <w:pPr>
              <w:rPr>
                <w:rFonts w:asciiTheme="majorHAnsi" w:hAnsiTheme="majorHAnsi" w:cstheme="majorHAnsi"/>
                <w:spacing w:val="-1"/>
                <w:sz w:val="28"/>
                <w:szCs w:val="28"/>
                <w:lang w:val="ca-ES"/>
              </w:rPr>
            </w:pPr>
            <w:r w:rsidRPr="003A2565">
              <w:rPr>
                <w:rFonts w:asciiTheme="majorHAnsi" w:hAnsiTheme="majorHAnsi" w:cstheme="majorHAnsi"/>
                <w:spacing w:val="-1"/>
                <w:sz w:val="28"/>
                <w:szCs w:val="28"/>
                <w:lang w:val="ca-ES"/>
              </w:rPr>
              <w:t>Non-government Domestic</w:t>
            </w:r>
          </w:p>
          <w:p w14:paraId="7AABB8DB" w14:textId="77777777" w:rsidR="003A2565" w:rsidRPr="003A2565" w:rsidRDefault="003A2565" w:rsidP="003A2565">
            <w:pPr>
              <w:rPr>
                <w:rFonts w:asciiTheme="majorHAnsi" w:hAnsiTheme="majorHAnsi" w:cstheme="majorHAnsi"/>
                <w:spacing w:val="-1"/>
                <w:sz w:val="28"/>
                <w:szCs w:val="28"/>
                <w:lang w:val="ca-ES"/>
              </w:rPr>
            </w:pPr>
            <w:r w:rsidRPr="003A2565">
              <w:rPr>
                <w:rFonts w:asciiTheme="majorHAnsi" w:hAnsiTheme="majorHAnsi" w:cstheme="majorHAnsi"/>
                <w:spacing w:val="-1"/>
                <w:sz w:val="28"/>
                <w:szCs w:val="28"/>
                <w:lang w:val="ca-ES"/>
              </w:rPr>
              <w:t>- NESP Subsidized</w:t>
            </w:r>
          </w:p>
        </w:tc>
        <w:tc>
          <w:tcPr>
            <w:tcW w:w="2563" w:type="dxa"/>
          </w:tcPr>
          <w:p w14:paraId="28DF930F" w14:textId="77777777" w:rsidR="003A2565" w:rsidRPr="003A2565" w:rsidRDefault="003A2565" w:rsidP="003A2565">
            <w:pPr>
              <w:rPr>
                <w:rFonts w:asciiTheme="majorHAnsi" w:hAnsiTheme="majorHAnsi" w:cstheme="majorHAnsi"/>
                <w:spacing w:val="-1"/>
                <w:sz w:val="28"/>
                <w:szCs w:val="28"/>
                <w:lang w:val="ca-ES"/>
              </w:rPr>
            </w:pPr>
            <w:r w:rsidRPr="003A2565">
              <w:rPr>
                <w:rFonts w:asciiTheme="majorHAnsi" w:hAnsiTheme="majorHAnsi" w:cstheme="majorHAnsi"/>
                <w:spacing w:val="-1"/>
                <w:sz w:val="28"/>
                <w:szCs w:val="28"/>
                <w:lang w:val="ca-ES"/>
              </w:rPr>
              <w:t>Increase of 7.4% ($13.6)</w:t>
            </w:r>
          </w:p>
        </w:tc>
      </w:tr>
      <w:tr w:rsidR="003A2565" w:rsidRPr="003A2565" w14:paraId="299B01C1" w14:textId="77777777" w:rsidTr="00820D8D">
        <w:trPr>
          <w:trHeight w:val="827"/>
        </w:trPr>
        <w:tc>
          <w:tcPr>
            <w:tcW w:w="3853" w:type="dxa"/>
          </w:tcPr>
          <w:p w14:paraId="7FEB791B" w14:textId="77777777" w:rsidR="003A2565" w:rsidRPr="003A2565" w:rsidRDefault="003A2565" w:rsidP="003A2565">
            <w:pPr>
              <w:rPr>
                <w:rFonts w:asciiTheme="majorHAnsi" w:hAnsiTheme="majorHAnsi" w:cstheme="majorHAnsi"/>
                <w:spacing w:val="-1"/>
                <w:sz w:val="28"/>
                <w:szCs w:val="28"/>
                <w:lang w:val="ca-ES"/>
              </w:rPr>
            </w:pPr>
            <w:r w:rsidRPr="003A2565">
              <w:rPr>
                <w:rFonts w:asciiTheme="majorHAnsi" w:hAnsiTheme="majorHAnsi" w:cstheme="majorHAnsi"/>
                <w:spacing w:val="-1"/>
                <w:sz w:val="28"/>
                <w:szCs w:val="28"/>
                <w:lang w:val="ca-ES"/>
              </w:rPr>
              <w:t>Municipal Tax-Based / Non-government Domestic</w:t>
            </w:r>
          </w:p>
          <w:p w14:paraId="0791F6F9" w14:textId="77777777" w:rsidR="003A2565" w:rsidRPr="003A2565" w:rsidRDefault="003A2565" w:rsidP="003A2565">
            <w:pPr>
              <w:rPr>
                <w:rFonts w:asciiTheme="majorHAnsi" w:hAnsiTheme="majorHAnsi" w:cstheme="majorHAnsi"/>
                <w:spacing w:val="-1"/>
                <w:sz w:val="28"/>
                <w:szCs w:val="28"/>
                <w:lang w:val="ca-ES"/>
              </w:rPr>
            </w:pPr>
            <w:r w:rsidRPr="003A2565">
              <w:rPr>
                <w:rFonts w:asciiTheme="majorHAnsi" w:hAnsiTheme="majorHAnsi" w:cstheme="majorHAnsi"/>
                <w:spacing w:val="-1"/>
                <w:sz w:val="28"/>
                <w:szCs w:val="28"/>
                <w:lang w:val="ca-ES"/>
              </w:rPr>
              <w:t>- Unsubsidized</w:t>
            </w:r>
          </w:p>
        </w:tc>
        <w:tc>
          <w:tcPr>
            <w:tcW w:w="2563" w:type="dxa"/>
          </w:tcPr>
          <w:p w14:paraId="05BC732C" w14:textId="77777777" w:rsidR="003A2565" w:rsidRPr="003A2565" w:rsidRDefault="003A2565" w:rsidP="003A2565">
            <w:pPr>
              <w:rPr>
                <w:rFonts w:asciiTheme="majorHAnsi" w:hAnsiTheme="majorHAnsi" w:cstheme="majorHAnsi"/>
                <w:spacing w:val="-1"/>
                <w:sz w:val="28"/>
                <w:szCs w:val="28"/>
                <w:lang w:val="ca-ES"/>
              </w:rPr>
            </w:pPr>
            <w:r w:rsidRPr="003A2565">
              <w:rPr>
                <w:rFonts w:asciiTheme="majorHAnsi" w:hAnsiTheme="majorHAnsi" w:cstheme="majorHAnsi"/>
                <w:spacing w:val="-1"/>
                <w:sz w:val="28"/>
                <w:szCs w:val="28"/>
                <w:lang w:val="ca-ES"/>
              </w:rPr>
              <w:t>Increase of 14.0% ($53.3)</w:t>
            </w:r>
          </w:p>
        </w:tc>
      </w:tr>
      <w:tr w:rsidR="003A2565" w:rsidRPr="003A2565" w14:paraId="2C68EAB0" w14:textId="77777777" w:rsidTr="00820D8D">
        <w:trPr>
          <w:trHeight w:val="822"/>
        </w:trPr>
        <w:tc>
          <w:tcPr>
            <w:tcW w:w="3853" w:type="dxa"/>
          </w:tcPr>
          <w:p w14:paraId="3A9F0761" w14:textId="77777777" w:rsidR="003A2565" w:rsidRPr="003A2565" w:rsidRDefault="003A2565" w:rsidP="003A2565">
            <w:pPr>
              <w:rPr>
                <w:rFonts w:asciiTheme="majorHAnsi" w:hAnsiTheme="majorHAnsi" w:cstheme="majorHAnsi"/>
                <w:spacing w:val="-1"/>
                <w:sz w:val="28"/>
                <w:szCs w:val="28"/>
                <w:lang w:val="ca-ES"/>
              </w:rPr>
            </w:pPr>
            <w:r w:rsidRPr="003A2565">
              <w:rPr>
                <w:rFonts w:asciiTheme="majorHAnsi" w:hAnsiTheme="majorHAnsi" w:cstheme="majorHAnsi"/>
                <w:spacing w:val="-1"/>
                <w:sz w:val="28"/>
                <w:szCs w:val="28"/>
                <w:lang w:val="ca-ES"/>
              </w:rPr>
              <w:lastRenderedPageBreak/>
              <w:t>Government Domestic</w:t>
            </w:r>
          </w:p>
        </w:tc>
        <w:tc>
          <w:tcPr>
            <w:tcW w:w="2563" w:type="dxa"/>
          </w:tcPr>
          <w:p w14:paraId="01EAEBE9" w14:textId="77777777" w:rsidR="003A2565" w:rsidRPr="003A2565" w:rsidRDefault="003A2565" w:rsidP="003A2565">
            <w:pPr>
              <w:rPr>
                <w:rFonts w:asciiTheme="majorHAnsi" w:hAnsiTheme="majorHAnsi" w:cstheme="majorHAnsi"/>
                <w:spacing w:val="-1"/>
                <w:sz w:val="28"/>
                <w:szCs w:val="28"/>
                <w:lang w:val="ca-ES"/>
              </w:rPr>
            </w:pPr>
            <w:r w:rsidRPr="003A2565">
              <w:rPr>
                <w:rFonts w:asciiTheme="majorHAnsi" w:hAnsiTheme="majorHAnsi" w:cstheme="majorHAnsi"/>
                <w:spacing w:val="-1"/>
                <w:sz w:val="28"/>
                <w:szCs w:val="28"/>
                <w:lang w:val="ca-ES"/>
              </w:rPr>
              <w:t>Increase of 12.6% ($70.7)</w:t>
            </w:r>
          </w:p>
        </w:tc>
      </w:tr>
      <w:tr w:rsidR="003A2565" w:rsidRPr="003A2565" w14:paraId="26A4CBA0" w14:textId="77777777" w:rsidTr="00820D8D">
        <w:trPr>
          <w:trHeight w:val="827"/>
        </w:trPr>
        <w:tc>
          <w:tcPr>
            <w:tcW w:w="3853" w:type="dxa"/>
          </w:tcPr>
          <w:p w14:paraId="50003FC0" w14:textId="77777777" w:rsidR="003A2565" w:rsidRPr="003A2565" w:rsidRDefault="003A2565" w:rsidP="003A2565">
            <w:pPr>
              <w:rPr>
                <w:rFonts w:asciiTheme="majorHAnsi" w:hAnsiTheme="majorHAnsi" w:cstheme="majorHAnsi"/>
                <w:spacing w:val="-1"/>
                <w:sz w:val="28"/>
                <w:szCs w:val="28"/>
                <w:lang w:val="ca-ES"/>
              </w:rPr>
            </w:pPr>
            <w:r w:rsidRPr="003A2565">
              <w:rPr>
                <w:rFonts w:asciiTheme="majorHAnsi" w:hAnsiTheme="majorHAnsi" w:cstheme="majorHAnsi"/>
                <w:spacing w:val="-1"/>
                <w:sz w:val="28"/>
                <w:szCs w:val="28"/>
                <w:lang w:val="ca-ES"/>
              </w:rPr>
              <w:t>Municipal Tax-Based / Non-government Commercial</w:t>
            </w:r>
          </w:p>
        </w:tc>
        <w:tc>
          <w:tcPr>
            <w:tcW w:w="2563" w:type="dxa"/>
          </w:tcPr>
          <w:p w14:paraId="349A831D" w14:textId="77777777" w:rsidR="003A2565" w:rsidRPr="003A2565" w:rsidRDefault="003A2565" w:rsidP="003A2565">
            <w:pPr>
              <w:rPr>
                <w:rFonts w:asciiTheme="majorHAnsi" w:hAnsiTheme="majorHAnsi" w:cstheme="majorHAnsi"/>
                <w:spacing w:val="-1"/>
                <w:sz w:val="28"/>
                <w:szCs w:val="28"/>
                <w:lang w:val="ca-ES"/>
              </w:rPr>
            </w:pPr>
            <w:r w:rsidRPr="003A2565">
              <w:rPr>
                <w:rFonts w:asciiTheme="majorHAnsi" w:hAnsiTheme="majorHAnsi" w:cstheme="majorHAnsi"/>
                <w:spacing w:val="-1"/>
                <w:sz w:val="28"/>
                <w:szCs w:val="28"/>
                <w:lang w:val="ca-ES"/>
              </w:rPr>
              <w:t>Increase of 12.6% ($155.9)</w:t>
            </w:r>
          </w:p>
        </w:tc>
      </w:tr>
      <w:tr w:rsidR="003A2565" w:rsidRPr="003A2565" w14:paraId="31C9908F" w14:textId="77777777" w:rsidTr="00820D8D">
        <w:trPr>
          <w:trHeight w:val="803"/>
        </w:trPr>
        <w:tc>
          <w:tcPr>
            <w:tcW w:w="3853" w:type="dxa"/>
          </w:tcPr>
          <w:p w14:paraId="1B2475AB" w14:textId="77777777" w:rsidR="003A2565" w:rsidRPr="003A2565" w:rsidRDefault="003A2565" w:rsidP="003A2565">
            <w:pPr>
              <w:rPr>
                <w:rFonts w:asciiTheme="majorHAnsi" w:hAnsiTheme="majorHAnsi" w:cstheme="majorHAnsi"/>
                <w:spacing w:val="-1"/>
                <w:sz w:val="28"/>
                <w:szCs w:val="28"/>
                <w:lang w:val="ca-ES"/>
              </w:rPr>
            </w:pPr>
            <w:r w:rsidRPr="003A2565">
              <w:rPr>
                <w:rFonts w:asciiTheme="majorHAnsi" w:hAnsiTheme="majorHAnsi" w:cstheme="majorHAnsi"/>
                <w:spacing w:val="-1"/>
                <w:sz w:val="28"/>
                <w:szCs w:val="28"/>
                <w:lang w:val="ca-ES"/>
              </w:rPr>
              <w:t>Government Commercial</w:t>
            </w:r>
          </w:p>
        </w:tc>
        <w:tc>
          <w:tcPr>
            <w:tcW w:w="2563" w:type="dxa"/>
          </w:tcPr>
          <w:p w14:paraId="60C2F1F8" w14:textId="77777777" w:rsidR="003A2565" w:rsidRPr="003A2565" w:rsidRDefault="003A2565" w:rsidP="003A2565">
            <w:pPr>
              <w:rPr>
                <w:rFonts w:asciiTheme="majorHAnsi" w:hAnsiTheme="majorHAnsi" w:cstheme="majorHAnsi"/>
                <w:spacing w:val="-1"/>
                <w:sz w:val="28"/>
                <w:szCs w:val="28"/>
                <w:lang w:val="ca-ES"/>
              </w:rPr>
            </w:pPr>
            <w:r w:rsidRPr="003A2565">
              <w:rPr>
                <w:rFonts w:asciiTheme="majorHAnsi" w:hAnsiTheme="majorHAnsi" w:cstheme="majorHAnsi"/>
                <w:spacing w:val="-1"/>
                <w:sz w:val="28"/>
                <w:szCs w:val="28"/>
                <w:lang w:val="ca-ES"/>
              </w:rPr>
              <w:t>Increase of 11.4% ($235.3)</w:t>
            </w:r>
          </w:p>
        </w:tc>
      </w:tr>
    </w:tbl>
    <w:p w14:paraId="09B007EB" w14:textId="77777777" w:rsidR="003A2565" w:rsidRPr="00360CEE" w:rsidRDefault="003A2565" w:rsidP="00360CEE">
      <w:pPr>
        <w:rPr>
          <w:rFonts w:asciiTheme="majorHAnsi" w:hAnsiTheme="majorHAnsi" w:cstheme="majorHAnsi"/>
          <w:spacing w:val="-1"/>
          <w:sz w:val="28"/>
          <w:szCs w:val="28"/>
          <w:lang w:val="en-CA"/>
        </w:rPr>
      </w:pPr>
    </w:p>
    <w:p w14:paraId="130E0A3D" w14:textId="53DEB5EC" w:rsidR="004F1F17" w:rsidRPr="005D61F9" w:rsidRDefault="004F1F17" w:rsidP="004F1F17"/>
    <w:p w14:paraId="31F1C110" w14:textId="77777777" w:rsidR="00360CEE" w:rsidRDefault="00360CEE" w:rsidP="00FC26AE">
      <w:pPr>
        <w:pStyle w:val="Default"/>
        <w:jc w:val="both"/>
        <w:rPr>
          <w:rFonts w:asciiTheme="majorHAnsi" w:hAnsiTheme="majorHAnsi" w:cstheme="majorHAnsi"/>
          <w:b/>
          <w:color w:val="auto"/>
          <w:spacing w:val="-1"/>
          <w:sz w:val="28"/>
          <w:szCs w:val="28"/>
        </w:rPr>
      </w:pPr>
    </w:p>
    <w:p w14:paraId="7CA845C8" w14:textId="417136BE" w:rsidR="004F1F17" w:rsidRPr="00983C2C" w:rsidRDefault="000E6F60" w:rsidP="00FC26AE">
      <w:pPr>
        <w:pStyle w:val="Default"/>
        <w:jc w:val="both"/>
        <w:rPr>
          <w:rFonts w:asciiTheme="majorHAnsi" w:hAnsiTheme="majorHAnsi" w:cstheme="majorHAnsi"/>
          <w:b/>
          <w:color w:val="auto"/>
          <w:spacing w:val="-1"/>
          <w:sz w:val="28"/>
          <w:szCs w:val="28"/>
        </w:rPr>
      </w:pPr>
      <w:r w:rsidRPr="00983C2C">
        <w:rPr>
          <w:rFonts w:asciiTheme="majorHAnsi" w:hAnsiTheme="majorHAnsi" w:cstheme="majorHAnsi"/>
          <w:b/>
          <w:color w:val="auto"/>
          <w:spacing w:val="-1"/>
          <w:sz w:val="28"/>
          <w:szCs w:val="28"/>
        </w:rPr>
        <w:t>Process</w:t>
      </w:r>
    </w:p>
    <w:p w14:paraId="7A73B389" w14:textId="2FFFB56C" w:rsidR="0033223F" w:rsidRPr="0033223F" w:rsidRDefault="0033223F" w:rsidP="0033223F">
      <w:pPr>
        <w:pStyle w:val="Default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The URRC</w:t>
      </w:r>
      <w:r w:rsidR="00BC3745">
        <w:rPr>
          <w:rFonts w:asciiTheme="majorHAnsi" w:hAnsiTheme="majorHAnsi" w:cstheme="majorHAnsi"/>
          <w:sz w:val="28"/>
          <w:szCs w:val="28"/>
        </w:rPr>
        <w:t xml:space="preserve">’s consideration of the QEC </w:t>
      </w:r>
      <w:r w:rsidR="00820D8D">
        <w:rPr>
          <w:rFonts w:asciiTheme="majorHAnsi" w:hAnsiTheme="majorHAnsi" w:cstheme="majorHAnsi"/>
          <w:sz w:val="28"/>
          <w:szCs w:val="28"/>
        </w:rPr>
        <w:t>2025</w:t>
      </w:r>
      <w:r w:rsidR="00327DD3">
        <w:rPr>
          <w:rFonts w:asciiTheme="majorHAnsi" w:hAnsiTheme="majorHAnsi" w:cstheme="majorHAnsi"/>
          <w:sz w:val="28"/>
          <w:szCs w:val="28"/>
        </w:rPr>
        <w:t xml:space="preserve">/26 </w:t>
      </w:r>
      <w:r w:rsidR="00BC3745">
        <w:rPr>
          <w:rFonts w:asciiTheme="majorHAnsi" w:hAnsiTheme="majorHAnsi" w:cstheme="majorHAnsi"/>
          <w:sz w:val="28"/>
          <w:szCs w:val="28"/>
        </w:rPr>
        <w:t>GRA Application will include an information request/response process</w:t>
      </w:r>
      <w:r w:rsidR="00327DD3">
        <w:rPr>
          <w:rFonts w:asciiTheme="majorHAnsi" w:hAnsiTheme="majorHAnsi" w:cstheme="majorHAnsi"/>
          <w:sz w:val="28"/>
          <w:szCs w:val="28"/>
        </w:rPr>
        <w:t xml:space="preserve"> with QEC</w:t>
      </w:r>
      <w:r w:rsidR="00BC3745">
        <w:rPr>
          <w:rFonts w:asciiTheme="majorHAnsi" w:hAnsiTheme="majorHAnsi" w:cstheme="majorHAnsi"/>
          <w:sz w:val="28"/>
          <w:szCs w:val="28"/>
        </w:rPr>
        <w:t xml:space="preserve"> to enable the URRC to better understand the proposed revenue requirement and rates.</w:t>
      </w:r>
      <w:r w:rsidR="00BC3745" w:rsidDel="00BC3745">
        <w:rPr>
          <w:rFonts w:asciiTheme="majorHAnsi" w:hAnsiTheme="majorHAnsi" w:cstheme="majorHAnsi"/>
          <w:sz w:val="28"/>
          <w:szCs w:val="28"/>
        </w:rPr>
        <w:t xml:space="preserve"> </w:t>
      </w:r>
      <w:r w:rsidR="00983C2C">
        <w:rPr>
          <w:rFonts w:asciiTheme="majorHAnsi" w:hAnsiTheme="majorHAnsi" w:cstheme="majorHAnsi"/>
          <w:sz w:val="28"/>
          <w:szCs w:val="28"/>
        </w:rPr>
        <w:t xml:space="preserve">The URRC </w:t>
      </w:r>
      <w:r>
        <w:rPr>
          <w:rFonts w:asciiTheme="majorHAnsi" w:hAnsiTheme="majorHAnsi" w:cstheme="majorHAnsi"/>
          <w:sz w:val="28"/>
          <w:szCs w:val="28"/>
        </w:rPr>
        <w:t xml:space="preserve">would </w:t>
      </w:r>
      <w:r w:rsidR="00BC3745">
        <w:rPr>
          <w:rFonts w:asciiTheme="majorHAnsi" w:hAnsiTheme="majorHAnsi" w:cstheme="majorHAnsi"/>
          <w:sz w:val="28"/>
          <w:szCs w:val="28"/>
        </w:rPr>
        <w:t xml:space="preserve">also </w:t>
      </w:r>
      <w:r>
        <w:rPr>
          <w:rFonts w:asciiTheme="majorHAnsi" w:hAnsiTheme="majorHAnsi" w:cstheme="majorHAnsi"/>
          <w:sz w:val="28"/>
          <w:szCs w:val="28"/>
        </w:rPr>
        <w:t xml:space="preserve">like to hear views from </w:t>
      </w:r>
      <w:r w:rsidR="00287EC6">
        <w:rPr>
          <w:rFonts w:asciiTheme="majorHAnsi" w:hAnsiTheme="majorHAnsi" w:cstheme="majorHAnsi"/>
          <w:sz w:val="28"/>
          <w:szCs w:val="28"/>
        </w:rPr>
        <w:t>QEC customers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285937">
        <w:rPr>
          <w:rFonts w:asciiTheme="majorHAnsi" w:hAnsiTheme="majorHAnsi" w:cstheme="majorHAnsi"/>
          <w:sz w:val="28"/>
          <w:szCs w:val="28"/>
        </w:rPr>
        <w:t xml:space="preserve">and interested parties </w:t>
      </w:r>
      <w:r>
        <w:rPr>
          <w:rFonts w:asciiTheme="majorHAnsi" w:hAnsiTheme="majorHAnsi" w:cstheme="majorHAnsi"/>
          <w:sz w:val="28"/>
          <w:szCs w:val="28"/>
        </w:rPr>
        <w:t>respecting this Application</w:t>
      </w:r>
      <w:r w:rsidR="00BC3745">
        <w:rPr>
          <w:rFonts w:asciiTheme="majorHAnsi" w:hAnsiTheme="majorHAnsi" w:cstheme="majorHAnsi"/>
          <w:sz w:val="28"/>
          <w:szCs w:val="28"/>
        </w:rPr>
        <w:t>, if any</w:t>
      </w:r>
      <w:r>
        <w:rPr>
          <w:rFonts w:asciiTheme="majorHAnsi" w:hAnsiTheme="majorHAnsi" w:cstheme="majorHAnsi"/>
          <w:sz w:val="28"/>
          <w:szCs w:val="28"/>
        </w:rPr>
        <w:t>.</w:t>
      </w:r>
      <w:r w:rsidR="000E6F60">
        <w:rPr>
          <w:rFonts w:asciiTheme="majorHAnsi" w:hAnsiTheme="majorHAnsi" w:cstheme="majorHAnsi"/>
          <w:sz w:val="28"/>
          <w:szCs w:val="28"/>
        </w:rPr>
        <w:t xml:space="preserve"> </w:t>
      </w:r>
      <w:r w:rsidR="00287EC6">
        <w:rPr>
          <w:rFonts w:asciiTheme="majorHAnsi" w:hAnsiTheme="majorHAnsi" w:cstheme="majorHAnsi"/>
          <w:sz w:val="28"/>
          <w:szCs w:val="28"/>
        </w:rPr>
        <w:t>The URRC will consider written submissions about the GRA application</w:t>
      </w:r>
      <w:r w:rsidR="00110286">
        <w:rPr>
          <w:rFonts w:asciiTheme="majorHAnsi" w:hAnsiTheme="majorHAnsi" w:cstheme="majorHAnsi"/>
          <w:sz w:val="28"/>
          <w:szCs w:val="28"/>
        </w:rPr>
        <w:t xml:space="preserve"> as well as QEC’s response</w:t>
      </w:r>
      <w:r w:rsidR="00BC3745">
        <w:rPr>
          <w:rFonts w:asciiTheme="majorHAnsi" w:hAnsiTheme="majorHAnsi" w:cstheme="majorHAnsi"/>
          <w:sz w:val="28"/>
          <w:szCs w:val="28"/>
        </w:rPr>
        <w:t>s</w:t>
      </w:r>
      <w:r w:rsidR="00110286">
        <w:rPr>
          <w:rFonts w:asciiTheme="majorHAnsi" w:hAnsiTheme="majorHAnsi" w:cstheme="majorHAnsi"/>
          <w:sz w:val="28"/>
          <w:szCs w:val="28"/>
        </w:rPr>
        <w:t xml:space="preserve"> to those submissions</w:t>
      </w:r>
      <w:r w:rsidR="00287EC6">
        <w:rPr>
          <w:rFonts w:asciiTheme="majorHAnsi" w:hAnsiTheme="majorHAnsi" w:cstheme="majorHAnsi"/>
          <w:sz w:val="28"/>
          <w:szCs w:val="28"/>
        </w:rPr>
        <w:t>.</w:t>
      </w:r>
      <w:r w:rsidR="00EE0428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5527FF23" w14:textId="77777777" w:rsidR="0033223F" w:rsidRPr="003C0C3A" w:rsidRDefault="0033223F" w:rsidP="00FC26AE">
      <w:pPr>
        <w:pStyle w:val="Default"/>
        <w:jc w:val="both"/>
        <w:rPr>
          <w:rFonts w:asciiTheme="majorHAnsi" w:hAnsiTheme="majorHAnsi" w:cstheme="majorHAnsi"/>
          <w:color w:val="auto"/>
          <w:spacing w:val="-1"/>
          <w:sz w:val="28"/>
          <w:szCs w:val="28"/>
        </w:rPr>
      </w:pPr>
    </w:p>
    <w:p w14:paraId="694D5854" w14:textId="77777777" w:rsidR="00FC26AE" w:rsidRPr="003C0C3A" w:rsidRDefault="00FC26AE" w:rsidP="00C76632">
      <w:pPr>
        <w:pStyle w:val="BodyText"/>
        <w:ind w:left="102"/>
        <w:rPr>
          <w:rFonts w:asciiTheme="majorHAnsi" w:hAnsiTheme="majorHAnsi" w:cstheme="majorHAnsi"/>
          <w:sz w:val="28"/>
          <w:szCs w:val="28"/>
        </w:rPr>
      </w:pPr>
    </w:p>
    <w:p w14:paraId="57428414" w14:textId="4F8D2D11" w:rsidR="00C76632" w:rsidRPr="003C0C3A" w:rsidRDefault="00C76632" w:rsidP="00FC26AE">
      <w:pPr>
        <w:pStyle w:val="NoSpacing"/>
        <w:rPr>
          <w:rFonts w:asciiTheme="majorHAnsi" w:hAnsiTheme="majorHAnsi" w:cstheme="majorHAnsi"/>
          <w:b/>
          <w:bCs/>
          <w:sz w:val="28"/>
          <w:szCs w:val="28"/>
        </w:rPr>
      </w:pPr>
      <w:r w:rsidRPr="003C0C3A">
        <w:rPr>
          <w:rFonts w:asciiTheme="majorHAnsi" w:hAnsiTheme="majorHAnsi" w:cstheme="majorHAnsi"/>
          <w:b/>
          <w:sz w:val="28"/>
          <w:szCs w:val="28"/>
        </w:rPr>
        <w:t>The</w:t>
      </w:r>
      <w:r w:rsidRPr="003C0C3A">
        <w:rPr>
          <w:rFonts w:asciiTheme="majorHAnsi" w:hAnsiTheme="majorHAnsi" w:cstheme="majorHAnsi"/>
          <w:b/>
          <w:spacing w:val="-4"/>
          <w:sz w:val="28"/>
          <w:szCs w:val="28"/>
        </w:rPr>
        <w:t xml:space="preserve"> </w:t>
      </w:r>
      <w:r w:rsidRPr="003C0C3A">
        <w:rPr>
          <w:rFonts w:asciiTheme="majorHAnsi" w:hAnsiTheme="majorHAnsi" w:cstheme="majorHAnsi"/>
          <w:b/>
          <w:sz w:val="28"/>
          <w:szCs w:val="28"/>
        </w:rPr>
        <w:t>deadline</w:t>
      </w:r>
      <w:r w:rsidRPr="003C0C3A">
        <w:rPr>
          <w:rFonts w:asciiTheme="majorHAnsi" w:hAnsiTheme="majorHAnsi" w:cstheme="majorHAnsi"/>
          <w:b/>
          <w:spacing w:val="-4"/>
          <w:sz w:val="28"/>
          <w:szCs w:val="28"/>
        </w:rPr>
        <w:t xml:space="preserve"> </w:t>
      </w:r>
      <w:r w:rsidRPr="003C0C3A">
        <w:rPr>
          <w:rFonts w:asciiTheme="majorHAnsi" w:hAnsiTheme="majorHAnsi" w:cstheme="majorHAnsi"/>
          <w:b/>
          <w:spacing w:val="-3"/>
          <w:sz w:val="28"/>
          <w:szCs w:val="28"/>
        </w:rPr>
        <w:t xml:space="preserve">for </w:t>
      </w:r>
      <w:r w:rsidRPr="003C0C3A">
        <w:rPr>
          <w:rFonts w:asciiTheme="majorHAnsi" w:hAnsiTheme="majorHAnsi" w:cstheme="majorHAnsi"/>
          <w:b/>
          <w:spacing w:val="-1"/>
          <w:sz w:val="28"/>
          <w:szCs w:val="28"/>
        </w:rPr>
        <w:t>written</w:t>
      </w:r>
      <w:r w:rsidRPr="003C0C3A">
        <w:rPr>
          <w:rFonts w:asciiTheme="majorHAnsi" w:hAnsiTheme="majorHAnsi" w:cstheme="majorHAnsi"/>
          <w:b/>
          <w:spacing w:val="-4"/>
          <w:sz w:val="28"/>
          <w:szCs w:val="28"/>
        </w:rPr>
        <w:t xml:space="preserve"> </w:t>
      </w:r>
      <w:r w:rsidRPr="003C0C3A">
        <w:rPr>
          <w:rFonts w:asciiTheme="majorHAnsi" w:hAnsiTheme="majorHAnsi" w:cstheme="majorHAnsi"/>
          <w:b/>
          <w:sz w:val="28"/>
          <w:szCs w:val="28"/>
        </w:rPr>
        <w:t>submissions</w:t>
      </w:r>
      <w:r w:rsidRPr="003C0C3A">
        <w:rPr>
          <w:rFonts w:asciiTheme="majorHAnsi" w:hAnsiTheme="majorHAnsi" w:cstheme="majorHAnsi"/>
          <w:b/>
          <w:spacing w:val="-3"/>
          <w:sz w:val="28"/>
          <w:szCs w:val="28"/>
        </w:rPr>
        <w:t xml:space="preserve"> </w:t>
      </w:r>
      <w:r w:rsidRPr="003C0C3A">
        <w:rPr>
          <w:rFonts w:asciiTheme="majorHAnsi" w:hAnsiTheme="majorHAnsi" w:cstheme="majorHAnsi"/>
          <w:b/>
          <w:sz w:val="28"/>
          <w:szCs w:val="28"/>
        </w:rPr>
        <w:t>is:</w:t>
      </w:r>
      <w:r w:rsidRPr="003C0C3A">
        <w:rPr>
          <w:rFonts w:asciiTheme="majorHAnsi" w:hAnsiTheme="majorHAnsi" w:cstheme="majorHAnsi"/>
          <w:b/>
          <w:spacing w:val="22"/>
          <w:sz w:val="28"/>
          <w:szCs w:val="28"/>
        </w:rPr>
        <w:t xml:space="preserve"> </w:t>
      </w:r>
      <w:r w:rsidRPr="003C0C3A">
        <w:rPr>
          <w:rFonts w:asciiTheme="majorHAnsi" w:hAnsiTheme="majorHAnsi" w:cstheme="majorHAnsi"/>
          <w:b/>
          <w:sz w:val="28"/>
          <w:szCs w:val="28"/>
        </w:rPr>
        <w:t xml:space="preserve">5 p.m. </w:t>
      </w:r>
      <w:r w:rsidRPr="003C0C3A">
        <w:rPr>
          <w:rFonts w:asciiTheme="majorHAnsi" w:hAnsiTheme="majorHAnsi" w:cstheme="majorHAnsi"/>
          <w:b/>
          <w:spacing w:val="-2"/>
          <w:sz w:val="28"/>
          <w:szCs w:val="28"/>
        </w:rPr>
        <w:t>(EST)</w:t>
      </w:r>
      <w:r w:rsidRPr="003C0C3A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BC3745">
        <w:rPr>
          <w:rFonts w:asciiTheme="majorHAnsi" w:hAnsiTheme="majorHAnsi" w:cstheme="majorHAnsi"/>
          <w:b/>
          <w:spacing w:val="-1"/>
          <w:sz w:val="28"/>
          <w:szCs w:val="28"/>
        </w:rPr>
        <w:t>January 24, 2025</w:t>
      </w:r>
      <w:r w:rsidR="00B005B2">
        <w:rPr>
          <w:rFonts w:asciiTheme="majorHAnsi" w:hAnsiTheme="majorHAnsi" w:cstheme="majorHAnsi"/>
          <w:b/>
          <w:sz w:val="28"/>
          <w:szCs w:val="28"/>
        </w:rPr>
        <w:t>.</w:t>
      </w:r>
    </w:p>
    <w:p w14:paraId="2DD1CCE2" w14:textId="2F4DDF41" w:rsidR="00C76632" w:rsidRPr="003C0C3A" w:rsidRDefault="00C76632" w:rsidP="00C76632">
      <w:pPr>
        <w:pStyle w:val="Heading2"/>
        <w:ind w:right="441"/>
        <w:jc w:val="center"/>
        <w:rPr>
          <w:rFonts w:asciiTheme="majorHAnsi" w:hAnsiTheme="majorHAnsi" w:cstheme="majorHAnsi"/>
          <w:sz w:val="28"/>
          <w:szCs w:val="28"/>
          <w:lang w:val="fr-CA" w:bidi="fr-CA"/>
        </w:rPr>
      </w:pPr>
    </w:p>
    <w:p w14:paraId="64ADB6DE" w14:textId="77777777" w:rsidR="00C76632" w:rsidRPr="003C0C3A" w:rsidRDefault="003C0C3A" w:rsidP="00C76632">
      <w:pPr>
        <w:pStyle w:val="Heading2"/>
        <w:ind w:right="441"/>
        <w:jc w:val="center"/>
        <w:rPr>
          <w:rFonts w:asciiTheme="majorHAnsi" w:hAnsiTheme="majorHAnsi" w:cstheme="majorHAnsi"/>
          <w:sz w:val="28"/>
          <w:szCs w:val="28"/>
          <w:lang w:val="fr-CA" w:bidi="fr-CA"/>
        </w:rPr>
      </w:pPr>
      <w:r w:rsidRPr="003C0C3A">
        <w:rPr>
          <w:rFonts w:asciiTheme="majorHAnsi" w:hAnsiTheme="majorHAnsi" w:cstheme="majorHAnsi"/>
          <w:noProof/>
          <w:spacing w:val="-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83CF04" wp14:editId="62A98E8A">
                <wp:simplePos x="0" y="0"/>
                <wp:positionH relativeFrom="page">
                  <wp:posOffset>4273484</wp:posOffset>
                </wp:positionH>
                <wp:positionV relativeFrom="paragraph">
                  <wp:posOffset>113838</wp:posOffset>
                </wp:positionV>
                <wp:extent cx="2821940" cy="2012950"/>
                <wp:effectExtent l="0" t="0" r="0" b="635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940" cy="2012950"/>
                        </a:xfrm>
                        <a:prstGeom prst="rect">
                          <a:avLst/>
                        </a:prstGeom>
                        <a:solidFill>
                          <a:srgbClr val="D9E4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0061F" w14:textId="428CA3CC" w:rsidR="00C76632" w:rsidRPr="00C76632" w:rsidRDefault="00C76632" w:rsidP="00C76632">
                            <w:pPr>
                              <w:spacing w:before="158" w:line="300" w:lineRule="exact"/>
                              <w:ind w:left="244" w:right="304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C76632">
                              <w:rPr>
                                <w:rFonts w:ascii="Calibri"/>
                                <w:b/>
                              </w:rPr>
                              <w:t>The</w:t>
                            </w:r>
                            <w:r w:rsidRPr="00C76632">
                              <w:rPr>
                                <w:rFonts w:ascii="Calibri"/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C76632">
                              <w:rPr>
                                <w:rFonts w:ascii="Calibri"/>
                                <w:b/>
                                <w:spacing w:val="-2"/>
                              </w:rPr>
                              <w:t>QEC</w:t>
                            </w:r>
                            <w:r w:rsidRPr="00C76632">
                              <w:rPr>
                                <w:rFonts w:ascii="Calibri"/>
                                <w:b/>
                                <w:spacing w:val="-1"/>
                              </w:rPr>
                              <w:t xml:space="preserve"> </w:t>
                            </w:r>
                            <w:r w:rsidR="00E06875">
                              <w:rPr>
                                <w:rFonts w:ascii="Calibri"/>
                                <w:b/>
                                <w:spacing w:val="-1"/>
                              </w:rPr>
                              <w:t xml:space="preserve">GRA </w:t>
                            </w:r>
                            <w:r w:rsidRPr="00C76632">
                              <w:rPr>
                                <w:rFonts w:ascii="Calibri"/>
                                <w:b/>
                                <w:spacing w:val="-1"/>
                              </w:rPr>
                              <w:t xml:space="preserve">application can </w:t>
                            </w:r>
                            <w:r w:rsidRPr="00C76632">
                              <w:rPr>
                                <w:rFonts w:ascii="Calibri"/>
                                <w:b/>
                              </w:rPr>
                              <w:t>be</w:t>
                            </w:r>
                            <w:r w:rsidRPr="00C76632">
                              <w:rPr>
                                <w:rFonts w:ascii="Calibri"/>
                                <w:b/>
                                <w:spacing w:val="-1"/>
                              </w:rPr>
                              <w:t xml:space="preserve"> found </w:t>
                            </w:r>
                            <w:r w:rsidR="00E06875">
                              <w:rPr>
                                <w:rFonts w:ascii="Calibri"/>
                                <w:b/>
                                <w:spacing w:val="-1"/>
                              </w:rPr>
                              <w:t xml:space="preserve">on </w:t>
                            </w:r>
                            <w:hyperlink r:id="rId8" w:history="1">
                              <w:r w:rsidRPr="00C76632">
                                <w:rPr>
                                  <w:rStyle w:val="Hyperlink"/>
                                  <w:spacing w:val="-2"/>
                                </w:rPr>
                                <w:t>www.qec.nu.ca</w:t>
                              </w:r>
                            </w:hyperlink>
                            <w:r w:rsidR="00EE0428">
                              <w:rPr>
                                <w:rFonts w:ascii="Calibri"/>
                                <w:b/>
                              </w:rPr>
                              <w:t xml:space="preserve"> </w:t>
                            </w:r>
                            <w:r w:rsidRPr="00C76632">
                              <w:rPr>
                                <w:rFonts w:ascii="Calibri"/>
                                <w:b/>
                                <w:spacing w:val="23"/>
                              </w:rPr>
                              <w:t>or</w:t>
                            </w:r>
                            <w:r w:rsidRPr="00C76632">
                              <w:rPr>
                                <w:rFonts w:ascii="Calibri"/>
                                <w:b/>
                              </w:rPr>
                              <w:t xml:space="preserve"> upon </w:t>
                            </w:r>
                            <w:r w:rsidRPr="00C76632">
                              <w:rPr>
                                <w:rFonts w:ascii="Calibri"/>
                                <w:b/>
                                <w:spacing w:val="-2"/>
                              </w:rPr>
                              <w:t>request</w:t>
                            </w:r>
                            <w:r w:rsidRPr="00C76632">
                              <w:rPr>
                                <w:rFonts w:ascii="Calibri"/>
                                <w:b/>
                              </w:rPr>
                              <w:t xml:space="preserve"> </w:t>
                            </w:r>
                            <w:r w:rsidR="000E6F60">
                              <w:rPr>
                                <w:rFonts w:ascii="Calibri"/>
                                <w:b/>
                                <w:spacing w:val="-1"/>
                              </w:rPr>
                              <w:t>from</w:t>
                            </w:r>
                            <w:r w:rsidRPr="00C76632">
                              <w:rPr>
                                <w:rFonts w:ascii="Calibri"/>
                                <w:b/>
                                <w:spacing w:val="35"/>
                              </w:rPr>
                              <w:t xml:space="preserve"> </w:t>
                            </w:r>
                            <w:r w:rsidRPr="00C76632">
                              <w:rPr>
                                <w:rFonts w:ascii="Calibri"/>
                                <w:b/>
                              </w:rPr>
                              <w:t xml:space="preserve">either the </w:t>
                            </w:r>
                            <w:r w:rsidRPr="00C76632">
                              <w:rPr>
                                <w:rFonts w:ascii="Calibri"/>
                                <w:b/>
                                <w:spacing w:val="-1"/>
                              </w:rPr>
                              <w:t>URRC</w:t>
                            </w:r>
                            <w:r w:rsidRPr="00C76632">
                              <w:rPr>
                                <w:rFonts w:ascii="Calibri"/>
                                <w:b/>
                              </w:rPr>
                              <w:t xml:space="preserve"> or </w:t>
                            </w:r>
                            <w:r w:rsidRPr="00C76632">
                              <w:rPr>
                                <w:rFonts w:ascii="Calibri"/>
                                <w:b/>
                                <w:spacing w:val="-1"/>
                              </w:rPr>
                              <w:t>QEC.</w:t>
                            </w:r>
                          </w:p>
                          <w:p w14:paraId="5F47CCF2" w14:textId="36C9C247" w:rsidR="00C76632" w:rsidRPr="00C76632" w:rsidRDefault="00C76632" w:rsidP="00C76632">
                            <w:pPr>
                              <w:spacing w:before="140" w:line="300" w:lineRule="exact"/>
                              <w:ind w:left="244" w:right="555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C76632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 xml:space="preserve">Submissions </w:t>
                            </w:r>
                            <w:r w:rsidRPr="00C76632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can</w:t>
                            </w:r>
                            <w:r w:rsidRPr="00C76632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 xml:space="preserve"> be </w:t>
                            </w:r>
                            <w:r w:rsidRPr="00C76632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sent</w:t>
                            </w:r>
                            <w:r w:rsidRPr="00C76632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C76632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to:</w:t>
                            </w:r>
                            <w:hyperlink r:id="rId9" w:history="1">
                              <w:r w:rsidR="00205220" w:rsidRPr="00D30558">
                                <w:rPr>
                                  <w:rStyle w:val="Hyperlink"/>
                                  <w:rFonts w:cs="Calibri"/>
                                  <w:spacing w:val="22"/>
                                </w:rPr>
                                <w:t xml:space="preserve"> </w:t>
                              </w:r>
                              <w:r w:rsidR="00205220" w:rsidRPr="00D30558">
                                <w:rPr>
                                  <w:rStyle w:val="Hyperlink"/>
                                  <w:rFonts w:cs="Calibri"/>
                                </w:rPr>
                                <w:t xml:space="preserve">Email – </w:t>
                              </w:r>
                              <w:r w:rsidR="00205220" w:rsidRPr="00D30558">
                                <w:rPr>
                                  <w:rStyle w:val="Hyperlink"/>
                                  <w:rFonts w:cs="Calibri"/>
                                  <w:spacing w:val="-3"/>
                                </w:rPr>
                                <w:t>URRC@gov.nu.ca</w:t>
                              </w:r>
                            </w:hyperlink>
                            <w:r w:rsidRPr="00C76632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7"/>
                              </w:rPr>
                              <w:t xml:space="preserve"> </w:t>
                            </w:r>
                            <w:r w:rsidRPr="00C76632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</w:rPr>
                              <w:t xml:space="preserve">Executive </w:t>
                            </w:r>
                            <w:r w:rsidRPr="00C76632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Director</w:t>
                            </w:r>
                            <w:r w:rsidRPr="00C76632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 w:rsidRPr="00C76632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of</w:t>
                            </w:r>
                            <w:r w:rsidRPr="00C76632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 w:rsidRPr="00C76632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the</w:t>
                            </w:r>
                            <w:r w:rsidRPr="00C76632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 w:rsidRPr="00C76632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URRC,</w:t>
                            </w:r>
                            <w:r w:rsidRPr="00C76632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3"/>
                              </w:rPr>
                              <w:t xml:space="preserve"> </w:t>
                            </w:r>
                            <w:r w:rsidRPr="00C76632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</w:rPr>
                              <w:t>Box</w:t>
                            </w:r>
                            <w:r w:rsidRPr="00C76632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 xml:space="preserve"> 1000, Stn 200</w:t>
                            </w:r>
                          </w:p>
                          <w:p w14:paraId="608E3927" w14:textId="77777777" w:rsidR="00C76632" w:rsidRPr="00C76632" w:rsidRDefault="00C76632" w:rsidP="00C76632">
                            <w:pPr>
                              <w:spacing w:line="315" w:lineRule="exact"/>
                              <w:ind w:left="244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C76632">
                              <w:rPr>
                                <w:rFonts w:ascii="Calibri"/>
                                <w:b/>
                              </w:rPr>
                              <w:t xml:space="preserve">Iqaluit, </w:t>
                            </w:r>
                            <w:r w:rsidRPr="00C76632">
                              <w:rPr>
                                <w:rFonts w:ascii="Calibri"/>
                                <w:b/>
                                <w:spacing w:val="-2"/>
                              </w:rPr>
                              <w:t>NU,</w:t>
                            </w:r>
                            <w:r w:rsidRPr="00C76632">
                              <w:rPr>
                                <w:rFonts w:ascii="Calibri"/>
                                <w:b/>
                              </w:rPr>
                              <w:t xml:space="preserve"> X0A 0H0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83CF04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36.5pt;margin-top:8.95pt;width:222.2pt;height:158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" fillcolor="#d9e4f0" stroked="f">
                <v:textbox inset="0,0,0,0">
                  <w:txbxContent>
                    <w:p w14:paraId="7B90061F" w14:textId="428CA3CC" w:rsidR="00C76632" w:rsidRPr="00C76632" w:rsidRDefault="00C76632" w:rsidP="00C76632">
                      <w:pPr>
                        <w:spacing w:before="158" w:line="300" w:lineRule="exact"/>
                        <w:ind w:left="244" w:right="304"/>
                        <w:rPr>
                          <w:rFonts w:ascii="Calibri" w:eastAsia="Calibri" w:hAnsi="Calibri" w:cs="Calibri"/>
                        </w:rPr>
                      </w:pPr>
                      <w:r w:rsidRPr="00C76632">
                        <w:rPr>
                          <w:rFonts w:ascii="Calibri"/>
                          <w:b/>
                        </w:rPr>
                        <w:t>The</w:t>
                      </w:r>
                      <w:r w:rsidRPr="00C76632">
                        <w:rPr>
                          <w:rFonts w:ascii="Calibri"/>
                          <w:b/>
                          <w:spacing w:val="-1"/>
                        </w:rPr>
                        <w:t xml:space="preserve"> </w:t>
                      </w:r>
                      <w:r w:rsidRPr="00C76632">
                        <w:rPr>
                          <w:rFonts w:ascii="Calibri"/>
                          <w:b/>
                          <w:spacing w:val="-2"/>
                        </w:rPr>
                        <w:t>QEC</w:t>
                      </w:r>
                      <w:r w:rsidRPr="00C76632">
                        <w:rPr>
                          <w:rFonts w:ascii="Calibri"/>
                          <w:b/>
                          <w:spacing w:val="-1"/>
                        </w:rPr>
                        <w:t xml:space="preserve"> </w:t>
                      </w:r>
                      <w:r w:rsidR="00E06875">
                        <w:rPr>
                          <w:rFonts w:ascii="Calibri"/>
                          <w:b/>
                          <w:spacing w:val="-1"/>
                        </w:rPr>
                        <w:t xml:space="preserve">GRA </w:t>
                      </w:r>
                      <w:r w:rsidRPr="00C76632">
                        <w:rPr>
                          <w:rFonts w:ascii="Calibri"/>
                          <w:b/>
                          <w:spacing w:val="-1"/>
                        </w:rPr>
                        <w:t xml:space="preserve">application can </w:t>
                      </w:r>
                      <w:r w:rsidRPr="00C76632">
                        <w:rPr>
                          <w:rFonts w:ascii="Calibri"/>
                          <w:b/>
                        </w:rPr>
                        <w:t>be</w:t>
                      </w:r>
                      <w:r w:rsidRPr="00C76632">
                        <w:rPr>
                          <w:rFonts w:ascii="Calibri"/>
                          <w:b/>
                          <w:spacing w:val="-1"/>
                        </w:rPr>
                        <w:t xml:space="preserve"> found </w:t>
                      </w:r>
                      <w:r w:rsidR="00E06875">
                        <w:rPr>
                          <w:rFonts w:ascii="Calibri"/>
                          <w:b/>
                          <w:spacing w:val="-1"/>
                        </w:rPr>
                        <w:t xml:space="preserve">on </w:t>
                      </w:r>
                      <w:hyperlink r:id="rId10" w:history="1">
                        <w:r w:rsidRPr="00C76632">
                          <w:rPr>
                            <w:rStyle w:val="Hyperlink"/>
                            <w:spacing w:val="-2"/>
                          </w:rPr>
                          <w:t>www.qec.nu.ca</w:t>
                        </w:r>
                      </w:hyperlink>
                      <w:r w:rsidR="00EE0428">
                        <w:rPr>
                          <w:rFonts w:ascii="Calibri"/>
                          <w:b/>
                        </w:rPr>
                        <w:t xml:space="preserve"> </w:t>
                      </w:r>
                      <w:r w:rsidRPr="00C76632">
                        <w:rPr>
                          <w:rFonts w:ascii="Calibri"/>
                          <w:b/>
                          <w:spacing w:val="23"/>
                        </w:rPr>
                        <w:t>or</w:t>
                      </w:r>
                      <w:r w:rsidRPr="00C76632">
                        <w:rPr>
                          <w:rFonts w:ascii="Calibri"/>
                          <w:b/>
                        </w:rPr>
                        <w:t xml:space="preserve"> upon </w:t>
                      </w:r>
                      <w:r w:rsidRPr="00C76632">
                        <w:rPr>
                          <w:rFonts w:ascii="Calibri"/>
                          <w:b/>
                          <w:spacing w:val="-2"/>
                        </w:rPr>
                        <w:t>request</w:t>
                      </w:r>
                      <w:r w:rsidRPr="00C76632">
                        <w:rPr>
                          <w:rFonts w:ascii="Calibri"/>
                          <w:b/>
                        </w:rPr>
                        <w:t xml:space="preserve"> </w:t>
                      </w:r>
                      <w:r w:rsidR="000E6F60">
                        <w:rPr>
                          <w:rFonts w:ascii="Calibri"/>
                          <w:b/>
                          <w:spacing w:val="-1"/>
                        </w:rPr>
                        <w:t>from</w:t>
                      </w:r>
                      <w:r w:rsidRPr="00C76632">
                        <w:rPr>
                          <w:rFonts w:ascii="Calibri"/>
                          <w:b/>
                          <w:spacing w:val="35"/>
                        </w:rPr>
                        <w:t xml:space="preserve"> </w:t>
                      </w:r>
                      <w:r w:rsidRPr="00C76632">
                        <w:rPr>
                          <w:rFonts w:ascii="Calibri"/>
                          <w:b/>
                        </w:rPr>
                        <w:t xml:space="preserve">either the </w:t>
                      </w:r>
                      <w:r w:rsidRPr="00C76632">
                        <w:rPr>
                          <w:rFonts w:ascii="Calibri"/>
                          <w:b/>
                          <w:spacing w:val="-1"/>
                        </w:rPr>
                        <w:t>URRC</w:t>
                      </w:r>
                      <w:r w:rsidRPr="00C76632">
                        <w:rPr>
                          <w:rFonts w:ascii="Calibri"/>
                          <w:b/>
                        </w:rPr>
                        <w:t xml:space="preserve"> or </w:t>
                      </w:r>
                      <w:r w:rsidRPr="00C76632">
                        <w:rPr>
                          <w:rFonts w:ascii="Calibri"/>
                          <w:b/>
                          <w:spacing w:val="-1"/>
                        </w:rPr>
                        <w:t>QEC.</w:t>
                      </w:r>
                    </w:p>
                    <w:p w14:paraId="5F47CCF2" w14:textId="36C9C247" w:rsidR="00C76632" w:rsidRPr="00C76632" w:rsidRDefault="00C76632" w:rsidP="00C76632">
                      <w:pPr>
                        <w:spacing w:before="140" w:line="300" w:lineRule="exact"/>
                        <w:ind w:left="244" w:right="555"/>
                        <w:rPr>
                          <w:rFonts w:ascii="Calibri" w:eastAsia="Calibri" w:hAnsi="Calibri" w:cs="Calibri"/>
                        </w:rPr>
                      </w:pPr>
                      <w:r w:rsidRPr="00C76632">
                        <w:rPr>
                          <w:rFonts w:ascii="Calibri" w:eastAsia="Calibri" w:hAnsi="Calibri" w:cs="Calibri"/>
                          <w:b/>
                          <w:bCs/>
                        </w:rPr>
                        <w:t xml:space="preserve">Submissions </w:t>
                      </w:r>
                      <w:r w:rsidRPr="00C76632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</w:rPr>
                        <w:t>can</w:t>
                      </w:r>
                      <w:r w:rsidRPr="00C76632">
                        <w:rPr>
                          <w:rFonts w:ascii="Calibri" w:eastAsia="Calibri" w:hAnsi="Calibri" w:cs="Calibri"/>
                          <w:b/>
                          <w:bCs/>
                        </w:rPr>
                        <w:t xml:space="preserve"> be </w:t>
                      </w:r>
                      <w:r w:rsidRPr="00C76632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</w:rPr>
                        <w:t>sent</w:t>
                      </w:r>
                      <w:r w:rsidRPr="00C76632">
                        <w:rPr>
                          <w:rFonts w:ascii="Calibri" w:eastAsia="Calibri" w:hAnsi="Calibri" w:cs="Calibri"/>
                          <w:b/>
                          <w:bCs/>
                        </w:rPr>
                        <w:t xml:space="preserve"> </w:t>
                      </w:r>
                      <w:r w:rsidRPr="00C76632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</w:rPr>
                        <w:t>to:</w:t>
                      </w:r>
                      <w:hyperlink r:id="rId11" w:history="1">
                        <w:r w:rsidR="00205220" w:rsidRPr="00D30558">
                          <w:rPr>
                            <w:rStyle w:val="Hyperlink"/>
                            <w:rFonts w:cs="Calibri"/>
                            <w:spacing w:val="22"/>
                          </w:rPr>
                          <w:t xml:space="preserve"> </w:t>
                        </w:r>
                        <w:r w:rsidR="00205220" w:rsidRPr="00D30558">
                          <w:rPr>
                            <w:rStyle w:val="Hyperlink"/>
                            <w:rFonts w:cs="Calibri"/>
                          </w:rPr>
                          <w:t xml:space="preserve">Email – </w:t>
                        </w:r>
                        <w:r w:rsidR="00205220" w:rsidRPr="00D30558">
                          <w:rPr>
                            <w:rStyle w:val="Hyperlink"/>
                            <w:rFonts w:cs="Calibri"/>
                            <w:spacing w:val="-3"/>
                          </w:rPr>
                          <w:t>URRC@gov.nu.ca</w:t>
                        </w:r>
                      </w:hyperlink>
                      <w:r w:rsidRPr="00C76632">
                        <w:rPr>
                          <w:rFonts w:ascii="Calibri" w:eastAsia="Calibri" w:hAnsi="Calibri" w:cs="Calibri"/>
                          <w:b/>
                          <w:bCs/>
                          <w:spacing w:val="27"/>
                        </w:rPr>
                        <w:t xml:space="preserve"> </w:t>
                      </w:r>
                      <w:r w:rsidRPr="00C76632"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</w:rPr>
                        <w:t xml:space="preserve">Executive </w:t>
                      </w:r>
                      <w:r w:rsidRPr="00C76632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</w:rPr>
                        <w:t>Director</w:t>
                      </w:r>
                      <w:r w:rsidRPr="00C76632"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</w:rPr>
                        <w:t xml:space="preserve"> </w:t>
                      </w:r>
                      <w:r w:rsidRPr="00C76632">
                        <w:rPr>
                          <w:rFonts w:ascii="Calibri" w:eastAsia="Calibri" w:hAnsi="Calibri" w:cs="Calibri"/>
                          <w:b/>
                          <w:bCs/>
                        </w:rPr>
                        <w:t>of</w:t>
                      </w:r>
                      <w:r w:rsidRPr="00C76632"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</w:rPr>
                        <w:t xml:space="preserve"> </w:t>
                      </w:r>
                      <w:r w:rsidRPr="00C76632">
                        <w:rPr>
                          <w:rFonts w:ascii="Calibri" w:eastAsia="Calibri" w:hAnsi="Calibri" w:cs="Calibri"/>
                          <w:b/>
                          <w:bCs/>
                        </w:rPr>
                        <w:t>the</w:t>
                      </w:r>
                      <w:r w:rsidRPr="00C76632"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</w:rPr>
                        <w:t xml:space="preserve"> </w:t>
                      </w:r>
                      <w:r w:rsidRPr="00C76632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</w:rPr>
                        <w:t>URRC,</w:t>
                      </w:r>
                      <w:r w:rsidRPr="00C76632">
                        <w:rPr>
                          <w:rFonts w:ascii="Calibri" w:eastAsia="Calibri" w:hAnsi="Calibri" w:cs="Calibri"/>
                          <w:b/>
                          <w:bCs/>
                          <w:spacing w:val="23"/>
                        </w:rPr>
                        <w:t xml:space="preserve"> </w:t>
                      </w:r>
                      <w:r w:rsidRPr="00C76632"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</w:rPr>
                        <w:t>Box</w:t>
                      </w:r>
                      <w:r w:rsidRPr="00C76632">
                        <w:rPr>
                          <w:rFonts w:ascii="Calibri" w:eastAsia="Calibri" w:hAnsi="Calibri" w:cs="Calibri"/>
                          <w:b/>
                          <w:bCs/>
                        </w:rPr>
                        <w:t xml:space="preserve"> 1000, Stn 200</w:t>
                      </w:r>
                    </w:p>
                    <w:p w14:paraId="608E3927" w14:textId="77777777" w:rsidR="00C76632" w:rsidRPr="00C76632" w:rsidRDefault="00C76632" w:rsidP="00C76632">
                      <w:pPr>
                        <w:spacing w:line="315" w:lineRule="exact"/>
                        <w:ind w:left="244"/>
                        <w:rPr>
                          <w:rFonts w:ascii="Calibri" w:eastAsia="Calibri" w:hAnsi="Calibri" w:cs="Calibri"/>
                        </w:rPr>
                      </w:pPr>
                      <w:r w:rsidRPr="00C76632">
                        <w:rPr>
                          <w:rFonts w:ascii="Calibri"/>
                          <w:b/>
                        </w:rPr>
                        <w:t xml:space="preserve">Iqaluit, </w:t>
                      </w:r>
                      <w:r w:rsidRPr="00C76632">
                        <w:rPr>
                          <w:rFonts w:ascii="Calibri"/>
                          <w:b/>
                          <w:spacing w:val="-2"/>
                        </w:rPr>
                        <w:t>NU,</w:t>
                      </w:r>
                      <w:r w:rsidRPr="00C76632">
                        <w:rPr>
                          <w:rFonts w:ascii="Calibri"/>
                          <w:b/>
                        </w:rPr>
                        <w:t xml:space="preserve"> X0A 0H0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74D4866" w14:textId="77777777" w:rsidR="00C76632" w:rsidRPr="003C0C3A" w:rsidRDefault="00C76632" w:rsidP="00C76632">
      <w:pPr>
        <w:pStyle w:val="Heading2"/>
        <w:ind w:right="441"/>
        <w:jc w:val="center"/>
        <w:rPr>
          <w:rFonts w:asciiTheme="majorHAnsi" w:hAnsiTheme="majorHAnsi" w:cstheme="majorHAnsi"/>
          <w:sz w:val="28"/>
          <w:szCs w:val="28"/>
          <w:lang w:val="fr-CA" w:bidi="fr-CA"/>
        </w:rPr>
      </w:pPr>
    </w:p>
    <w:p w14:paraId="6ADF6484" w14:textId="77777777" w:rsidR="00C76632" w:rsidRPr="003C0C3A" w:rsidRDefault="00C76632" w:rsidP="00C76632">
      <w:pPr>
        <w:pStyle w:val="Heading2"/>
        <w:ind w:right="441"/>
        <w:jc w:val="center"/>
        <w:rPr>
          <w:rFonts w:asciiTheme="majorHAnsi" w:hAnsiTheme="majorHAnsi" w:cstheme="majorHAnsi"/>
          <w:sz w:val="28"/>
          <w:szCs w:val="28"/>
          <w:lang w:val="fr-CA" w:bidi="fr-CA"/>
        </w:rPr>
      </w:pPr>
    </w:p>
    <w:p w14:paraId="172018B6" w14:textId="77777777" w:rsidR="00FC26AE" w:rsidRPr="003C0C3A" w:rsidRDefault="00FC26AE" w:rsidP="00C76632">
      <w:pPr>
        <w:pStyle w:val="Heading2"/>
        <w:ind w:right="441"/>
        <w:jc w:val="center"/>
        <w:rPr>
          <w:rFonts w:asciiTheme="majorHAnsi" w:hAnsiTheme="majorHAnsi" w:cstheme="majorHAnsi"/>
          <w:sz w:val="28"/>
          <w:szCs w:val="28"/>
          <w:lang w:val="fr-CA" w:bidi="fr-CA"/>
        </w:rPr>
      </w:pPr>
    </w:p>
    <w:p w14:paraId="4560C23A" w14:textId="77777777" w:rsidR="00DE0D8E" w:rsidRPr="003C0C3A" w:rsidRDefault="00DE0D8E" w:rsidP="00C76632">
      <w:pPr>
        <w:pStyle w:val="Heading2"/>
        <w:ind w:right="441"/>
        <w:jc w:val="center"/>
        <w:rPr>
          <w:rFonts w:asciiTheme="majorHAnsi" w:hAnsiTheme="majorHAnsi" w:cstheme="majorHAnsi"/>
          <w:sz w:val="28"/>
          <w:szCs w:val="28"/>
          <w:lang w:val="fr-CA" w:bidi="fr-CA"/>
        </w:rPr>
      </w:pPr>
    </w:p>
    <w:p w14:paraId="2C08092F" w14:textId="77777777" w:rsidR="00DE0D8E" w:rsidRPr="003C0C3A" w:rsidRDefault="00DE0D8E" w:rsidP="00C76632">
      <w:pPr>
        <w:pStyle w:val="Heading2"/>
        <w:ind w:right="441"/>
        <w:jc w:val="center"/>
        <w:rPr>
          <w:rFonts w:asciiTheme="majorHAnsi" w:hAnsiTheme="majorHAnsi" w:cstheme="majorHAnsi"/>
          <w:sz w:val="28"/>
          <w:szCs w:val="28"/>
          <w:lang w:val="fr-CA" w:bidi="fr-CA"/>
        </w:rPr>
      </w:pPr>
    </w:p>
    <w:p w14:paraId="4B5508F2" w14:textId="77777777" w:rsidR="00DE0D8E" w:rsidRPr="003C0C3A" w:rsidRDefault="00DE0D8E" w:rsidP="00C76632">
      <w:pPr>
        <w:pStyle w:val="Heading2"/>
        <w:ind w:right="441"/>
        <w:jc w:val="center"/>
        <w:rPr>
          <w:rFonts w:asciiTheme="majorHAnsi" w:hAnsiTheme="majorHAnsi" w:cstheme="majorHAnsi"/>
          <w:sz w:val="28"/>
          <w:szCs w:val="28"/>
          <w:lang w:val="fr-CA" w:bidi="fr-CA"/>
        </w:rPr>
      </w:pPr>
    </w:p>
    <w:p w14:paraId="18450096" w14:textId="77777777" w:rsidR="00DE0D8E" w:rsidRPr="003C0C3A" w:rsidRDefault="00DE0D8E" w:rsidP="00C76632">
      <w:pPr>
        <w:pStyle w:val="Heading2"/>
        <w:ind w:right="441"/>
        <w:jc w:val="center"/>
        <w:rPr>
          <w:rFonts w:asciiTheme="majorHAnsi" w:hAnsiTheme="majorHAnsi" w:cstheme="majorHAnsi"/>
          <w:sz w:val="28"/>
          <w:szCs w:val="28"/>
          <w:lang w:val="fr-CA" w:bidi="fr-CA"/>
        </w:rPr>
      </w:pPr>
    </w:p>
    <w:p w14:paraId="22868262" w14:textId="77777777" w:rsidR="00DE0D8E" w:rsidRPr="003C0C3A" w:rsidRDefault="00DE0D8E" w:rsidP="00C76632">
      <w:pPr>
        <w:pStyle w:val="Heading2"/>
        <w:ind w:right="441"/>
        <w:jc w:val="center"/>
        <w:rPr>
          <w:rFonts w:asciiTheme="majorHAnsi" w:hAnsiTheme="majorHAnsi" w:cstheme="majorHAnsi"/>
          <w:sz w:val="28"/>
          <w:szCs w:val="28"/>
          <w:lang w:val="fr-CA" w:bidi="fr-CA"/>
        </w:rPr>
      </w:pPr>
    </w:p>
    <w:p w14:paraId="1D449BCE" w14:textId="77777777" w:rsidR="00C50588" w:rsidRDefault="00DE0D8E" w:rsidP="003C0C3A">
      <w:pPr>
        <w:rPr>
          <w:rFonts w:asciiTheme="majorHAnsi" w:hAnsiTheme="majorHAnsi" w:cstheme="majorHAnsi"/>
          <w:i/>
          <w:sz w:val="28"/>
          <w:szCs w:val="28"/>
        </w:rPr>
      </w:pPr>
      <w:r w:rsidRPr="003C0C3A">
        <w:rPr>
          <w:rFonts w:asciiTheme="majorHAnsi" w:hAnsiTheme="majorHAnsi" w:cstheme="majorHAnsi"/>
          <w:i/>
          <w:sz w:val="28"/>
          <w:szCs w:val="28"/>
        </w:rPr>
        <w:lastRenderedPageBreak/>
        <w:t>The</w:t>
      </w:r>
      <w:r w:rsidRPr="003C0C3A">
        <w:rPr>
          <w:rFonts w:asciiTheme="majorHAnsi" w:hAnsiTheme="majorHAnsi" w:cstheme="majorHAnsi"/>
          <w:i/>
          <w:spacing w:val="-1"/>
          <w:sz w:val="28"/>
          <w:szCs w:val="28"/>
        </w:rPr>
        <w:t xml:space="preserve"> URRC</w:t>
      </w:r>
      <w:r w:rsidRPr="003C0C3A">
        <w:rPr>
          <w:rFonts w:asciiTheme="majorHAnsi" w:hAnsiTheme="majorHAnsi" w:cstheme="majorHAnsi"/>
          <w:i/>
          <w:sz w:val="28"/>
          <w:szCs w:val="28"/>
        </w:rPr>
        <w:t xml:space="preserve"> is</w:t>
      </w:r>
      <w:r w:rsidRPr="003C0C3A">
        <w:rPr>
          <w:rFonts w:asciiTheme="majorHAnsi" w:hAnsiTheme="majorHAnsi" w:cstheme="majorHAnsi"/>
          <w:i/>
          <w:spacing w:val="-1"/>
          <w:sz w:val="28"/>
          <w:szCs w:val="28"/>
        </w:rPr>
        <w:t xml:space="preserve"> </w:t>
      </w:r>
      <w:r w:rsidRPr="003C0C3A">
        <w:rPr>
          <w:rFonts w:asciiTheme="majorHAnsi" w:hAnsiTheme="majorHAnsi" w:cstheme="majorHAnsi"/>
          <w:i/>
          <w:sz w:val="28"/>
          <w:szCs w:val="28"/>
        </w:rPr>
        <w:t xml:space="preserve">an </w:t>
      </w:r>
      <w:r w:rsidRPr="003C0C3A">
        <w:rPr>
          <w:rFonts w:asciiTheme="majorHAnsi" w:hAnsiTheme="majorHAnsi" w:cstheme="majorHAnsi"/>
          <w:i/>
          <w:spacing w:val="-2"/>
          <w:sz w:val="28"/>
          <w:szCs w:val="28"/>
        </w:rPr>
        <w:t>arm’s-length</w:t>
      </w:r>
      <w:r w:rsidRPr="003C0C3A">
        <w:rPr>
          <w:rFonts w:asciiTheme="majorHAnsi" w:hAnsiTheme="majorHAnsi" w:cstheme="majorHAnsi"/>
          <w:i/>
          <w:spacing w:val="-1"/>
          <w:sz w:val="28"/>
          <w:szCs w:val="28"/>
        </w:rPr>
        <w:t xml:space="preserve"> </w:t>
      </w:r>
      <w:r w:rsidRPr="003C0C3A">
        <w:rPr>
          <w:rFonts w:asciiTheme="majorHAnsi" w:hAnsiTheme="majorHAnsi" w:cstheme="majorHAnsi"/>
          <w:i/>
          <w:sz w:val="28"/>
          <w:szCs w:val="28"/>
        </w:rPr>
        <w:t>board that</w:t>
      </w:r>
      <w:r w:rsidRPr="003C0C3A">
        <w:rPr>
          <w:rFonts w:asciiTheme="majorHAnsi" w:hAnsiTheme="majorHAnsi" w:cstheme="majorHAnsi"/>
          <w:i/>
          <w:spacing w:val="-1"/>
          <w:sz w:val="28"/>
          <w:szCs w:val="28"/>
        </w:rPr>
        <w:t xml:space="preserve"> </w:t>
      </w:r>
      <w:r w:rsidRPr="003C0C3A">
        <w:rPr>
          <w:rFonts w:asciiTheme="majorHAnsi" w:hAnsiTheme="majorHAnsi" w:cstheme="majorHAnsi"/>
          <w:i/>
          <w:sz w:val="28"/>
          <w:szCs w:val="28"/>
        </w:rPr>
        <w:t xml:space="preserve">gives </w:t>
      </w:r>
      <w:r w:rsidRPr="003C0C3A">
        <w:rPr>
          <w:rFonts w:asciiTheme="majorHAnsi" w:hAnsiTheme="majorHAnsi" w:cstheme="majorHAnsi"/>
          <w:i/>
          <w:spacing w:val="-1"/>
          <w:sz w:val="28"/>
          <w:szCs w:val="28"/>
        </w:rPr>
        <w:t xml:space="preserve">advice </w:t>
      </w:r>
      <w:r w:rsidRPr="003C0C3A">
        <w:rPr>
          <w:rFonts w:asciiTheme="majorHAnsi" w:hAnsiTheme="majorHAnsi" w:cstheme="majorHAnsi"/>
          <w:i/>
          <w:spacing w:val="-2"/>
          <w:sz w:val="28"/>
          <w:szCs w:val="28"/>
        </w:rPr>
        <w:t>to</w:t>
      </w:r>
      <w:r w:rsidRPr="003C0C3A">
        <w:rPr>
          <w:rFonts w:asciiTheme="majorHAnsi" w:hAnsiTheme="majorHAnsi" w:cstheme="majorHAnsi"/>
          <w:i/>
          <w:sz w:val="28"/>
          <w:szCs w:val="28"/>
        </w:rPr>
        <w:t xml:space="preserve"> the</w:t>
      </w:r>
      <w:r w:rsidRPr="003C0C3A">
        <w:rPr>
          <w:rFonts w:asciiTheme="majorHAnsi" w:hAnsiTheme="majorHAnsi" w:cstheme="majorHAnsi"/>
          <w:i/>
          <w:spacing w:val="-1"/>
          <w:sz w:val="28"/>
          <w:szCs w:val="28"/>
        </w:rPr>
        <w:t xml:space="preserve"> Government</w:t>
      </w:r>
      <w:r w:rsidRPr="003C0C3A">
        <w:rPr>
          <w:rFonts w:asciiTheme="majorHAnsi" w:hAnsiTheme="majorHAnsi" w:cstheme="majorHAnsi"/>
          <w:i/>
          <w:sz w:val="28"/>
          <w:szCs w:val="28"/>
        </w:rPr>
        <w:t xml:space="preserve"> of Nunavut about</w:t>
      </w:r>
      <w:r w:rsidRPr="003C0C3A">
        <w:rPr>
          <w:rFonts w:asciiTheme="majorHAnsi" w:hAnsiTheme="majorHAnsi" w:cstheme="majorHAnsi"/>
          <w:i/>
          <w:spacing w:val="-1"/>
          <w:sz w:val="28"/>
          <w:szCs w:val="28"/>
        </w:rPr>
        <w:t xml:space="preserve"> rates</w:t>
      </w:r>
      <w:r w:rsidRPr="003C0C3A">
        <w:rPr>
          <w:rFonts w:asciiTheme="majorHAnsi" w:hAnsiTheme="majorHAnsi" w:cstheme="majorHAnsi"/>
          <w:i/>
          <w:sz w:val="28"/>
          <w:szCs w:val="28"/>
        </w:rPr>
        <w:t xml:space="preserve"> </w:t>
      </w:r>
      <w:r w:rsidRPr="003C0C3A">
        <w:rPr>
          <w:rFonts w:asciiTheme="majorHAnsi" w:hAnsiTheme="majorHAnsi" w:cstheme="majorHAnsi"/>
          <w:i/>
          <w:spacing w:val="-1"/>
          <w:sz w:val="28"/>
          <w:szCs w:val="28"/>
        </w:rPr>
        <w:t>levied by</w:t>
      </w:r>
      <w:r w:rsidRPr="003C0C3A">
        <w:rPr>
          <w:rFonts w:asciiTheme="majorHAnsi" w:hAnsiTheme="majorHAnsi" w:cstheme="majorHAnsi"/>
          <w:i/>
          <w:sz w:val="28"/>
          <w:szCs w:val="28"/>
        </w:rPr>
        <w:t xml:space="preserve"> utilities.</w:t>
      </w:r>
    </w:p>
    <w:sectPr w:rsidR="00C50588" w:rsidSect="00DE0D8E">
      <w:head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5697E" w14:textId="77777777" w:rsidR="0030207F" w:rsidRDefault="0030207F" w:rsidP="00577AE4">
      <w:r>
        <w:separator/>
      </w:r>
    </w:p>
  </w:endnote>
  <w:endnote w:type="continuationSeparator" w:id="0">
    <w:p w14:paraId="268DE455" w14:textId="77777777" w:rsidR="0030207F" w:rsidRDefault="0030207F" w:rsidP="00577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C2E6A" w14:textId="77777777" w:rsidR="0030207F" w:rsidRDefault="0030207F" w:rsidP="00577AE4">
      <w:r>
        <w:separator/>
      </w:r>
    </w:p>
  </w:footnote>
  <w:footnote w:type="continuationSeparator" w:id="0">
    <w:p w14:paraId="641B6152" w14:textId="77777777" w:rsidR="0030207F" w:rsidRDefault="0030207F" w:rsidP="00577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E43EA" w14:textId="69986C2E" w:rsidR="00577AE4" w:rsidRDefault="006200C5" w:rsidP="00C76632">
    <w:pPr>
      <w:pStyle w:val="Header"/>
      <w:jc w:val="center"/>
    </w:pPr>
    <w:r>
      <w:rPr>
        <w:noProof/>
        <w:sz w:val="20"/>
      </w:rPr>
      <w:drawing>
        <wp:inline distT="0" distB="0" distL="0" distR="0" wp14:anchorId="177B0B43" wp14:editId="666BC80E">
          <wp:extent cx="4724400" cy="1143000"/>
          <wp:effectExtent l="0" t="0" r="0" b="0"/>
          <wp:docPr id="5" name="Picture 5" descr="d:\Users\wadesmicrosoft\Documents\Wades documents\CLIENTS\AUC - Nunavut\Background info\URCC logo 2023 no s on service in french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wadesmicrosoft\Documents\Wades documents\CLIENTS\AUC - Nunavut\Background info\URCC logo 2023 no s on service in french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345F1"/>
    <w:multiLevelType w:val="hybridMultilevel"/>
    <w:tmpl w:val="E3BC3606"/>
    <w:lvl w:ilvl="0" w:tplc="645EEF3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A6A98"/>
    <w:multiLevelType w:val="hybridMultilevel"/>
    <w:tmpl w:val="10D65F6E"/>
    <w:lvl w:ilvl="0" w:tplc="83108478">
      <w:start w:val="1"/>
      <w:numFmt w:val="decimal"/>
      <w:lvlText w:val="%1"/>
      <w:lvlJc w:val="left"/>
      <w:pPr>
        <w:ind w:left="740" w:hanging="495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7"/>
        <w:sz w:val="24"/>
        <w:szCs w:val="24"/>
        <w:lang w:val="ca-ES" w:eastAsia="en-US" w:bidi="ar-SA"/>
      </w:rPr>
    </w:lvl>
    <w:lvl w:ilvl="1" w:tplc="511C32F2">
      <w:numFmt w:val="bullet"/>
      <w:lvlText w:val="•"/>
      <w:lvlJc w:val="left"/>
      <w:pPr>
        <w:ind w:left="1688" w:hanging="495"/>
      </w:pPr>
      <w:rPr>
        <w:rFonts w:hint="default"/>
        <w:lang w:val="ca-ES" w:eastAsia="en-US" w:bidi="ar-SA"/>
      </w:rPr>
    </w:lvl>
    <w:lvl w:ilvl="2" w:tplc="F29E268C">
      <w:numFmt w:val="bullet"/>
      <w:lvlText w:val="•"/>
      <w:lvlJc w:val="left"/>
      <w:pPr>
        <w:ind w:left="2636" w:hanging="495"/>
      </w:pPr>
      <w:rPr>
        <w:rFonts w:hint="default"/>
        <w:lang w:val="ca-ES" w:eastAsia="en-US" w:bidi="ar-SA"/>
      </w:rPr>
    </w:lvl>
    <w:lvl w:ilvl="3" w:tplc="4B5A2B56">
      <w:numFmt w:val="bullet"/>
      <w:lvlText w:val="•"/>
      <w:lvlJc w:val="left"/>
      <w:pPr>
        <w:ind w:left="3584" w:hanging="495"/>
      </w:pPr>
      <w:rPr>
        <w:rFonts w:hint="default"/>
        <w:lang w:val="ca-ES" w:eastAsia="en-US" w:bidi="ar-SA"/>
      </w:rPr>
    </w:lvl>
    <w:lvl w:ilvl="4" w:tplc="F4A86150">
      <w:numFmt w:val="bullet"/>
      <w:lvlText w:val="•"/>
      <w:lvlJc w:val="left"/>
      <w:pPr>
        <w:ind w:left="4532" w:hanging="495"/>
      </w:pPr>
      <w:rPr>
        <w:rFonts w:hint="default"/>
        <w:lang w:val="ca-ES" w:eastAsia="en-US" w:bidi="ar-SA"/>
      </w:rPr>
    </w:lvl>
    <w:lvl w:ilvl="5" w:tplc="B53A1CCC">
      <w:numFmt w:val="bullet"/>
      <w:lvlText w:val="•"/>
      <w:lvlJc w:val="left"/>
      <w:pPr>
        <w:ind w:left="5480" w:hanging="495"/>
      </w:pPr>
      <w:rPr>
        <w:rFonts w:hint="default"/>
        <w:lang w:val="ca-ES" w:eastAsia="en-US" w:bidi="ar-SA"/>
      </w:rPr>
    </w:lvl>
    <w:lvl w:ilvl="6" w:tplc="3C609B2A">
      <w:numFmt w:val="bullet"/>
      <w:lvlText w:val="•"/>
      <w:lvlJc w:val="left"/>
      <w:pPr>
        <w:ind w:left="6428" w:hanging="495"/>
      </w:pPr>
      <w:rPr>
        <w:rFonts w:hint="default"/>
        <w:lang w:val="ca-ES" w:eastAsia="en-US" w:bidi="ar-SA"/>
      </w:rPr>
    </w:lvl>
    <w:lvl w:ilvl="7" w:tplc="137E366C">
      <w:numFmt w:val="bullet"/>
      <w:lvlText w:val="•"/>
      <w:lvlJc w:val="left"/>
      <w:pPr>
        <w:ind w:left="7376" w:hanging="495"/>
      </w:pPr>
      <w:rPr>
        <w:rFonts w:hint="default"/>
        <w:lang w:val="ca-ES" w:eastAsia="en-US" w:bidi="ar-SA"/>
      </w:rPr>
    </w:lvl>
    <w:lvl w:ilvl="8" w:tplc="5A723356">
      <w:numFmt w:val="bullet"/>
      <w:lvlText w:val="•"/>
      <w:lvlJc w:val="left"/>
      <w:pPr>
        <w:ind w:left="8324" w:hanging="495"/>
      </w:pPr>
      <w:rPr>
        <w:rFonts w:hint="default"/>
        <w:lang w:val="ca-ES" w:eastAsia="en-US" w:bidi="ar-SA"/>
      </w:rPr>
    </w:lvl>
  </w:abstractNum>
  <w:abstractNum w:abstractNumId="2" w15:restartNumberingAfterBreak="0">
    <w:nsid w:val="699B26DC"/>
    <w:multiLevelType w:val="hybridMultilevel"/>
    <w:tmpl w:val="FF8C2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0E3244"/>
    <w:multiLevelType w:val="hybridMultilevel"/>
    <w:tmpl w:val="2E5A8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045993">
    <w:abstractNumId w:val="2"/>
  </w:num>
  <w:num w:numId="2" w16cid:durableId="316350414">
    <w:abstractNumId w:val="0"/>
  </w:num>
  <w:num w:numId="3" w16cid:durableId="1588222643">
    <w:abstractNumId w:val="3"/>
  </w:num>
  <w:num w:numId="4" w16cid:durableId="1736002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7AE4"/>
    <w:rsid w:val="00010B54"/>
    <w:rsid w:val="00026631"/>
    <w:rsid w:val="00083E99"/>
    <w:rsid w:val="00097FD9"/>
    <w:rsid w:val="000C13C4"/>
    <w:rsid w:val="000D14BF"/>
    <w:rsid w:val="000D7F53"/>
    <w:rsid w:val="000E6F60"/>
    <w:rsid w:val="00110286"/>
    <w:rsid w:val="00162FE9"/>
    <w:rsid w:val="001D386B"/>
    <w:rsid w:val="001F264D"/>
    <w:rsid w:val="00205220"/>
    <w:rsid w:val="00205DF6"/>
    <w:rsid w:val="00231939"/>
    <w:rsid w:val="0024784D"/>
    <w:rsid w:val="00285937"/>
    <w:rsid w:val="00287EC6"/>
    <w:rsid w:val="00290E05"/>
    <w:rsid w:val="002D2412"/>
    <w:rsid w:val="002D44DF"/>
    <w:rsid w:val="002D5D39"/>
    <w:rsid w:val="0030207F"/>
    <w:rsid w:val="00327DD3"/>
    <w:rsid w:val="0033223F"/>
    <w:rsid w:val="00347BB7"/>
    <w:rsid w:val="00360CEE"/>
    <w:rsid w:val="003A2565"/>
    <w:rsid w:val="003C0C3A"/>
    <w:rsid w:val="00411935"/>
    <w:rsid w:val="00420A85"/>
    <w:rsid w:val="00437892"/>
    <w:rsid w:val="004F1F17"/>
    <w:rsid w:val="00505CBB"/>
    <w:rsid w:val="005143E3"/>
    <w:rsid w:val="00535FAD"/>
    <w:rsid w:val="005436ED"/>
    <w:rsid w:val="005443C3"/>
    <w:rsid w:val="00577AE4"/>
    <w:rsid w:val="005A34D6"/>
    <w:rsid w:val="005C184B"/>
    <w:rsid w:val="005C6EA9"/>
    <w:rsid w:val="006200C5"/>
    <w:rsid w:val="006C5748"/>
    <w:rsid w:val="0070714C"/>
    <w:rsid w:val="00734C20"/>
    <w:rsid w:val="00736B28"/>
    <w:rsid w:val="007674C4"/>
    <w:rsid w:val="00780AA0"/>
    <w:rsid w:val="007A176F"/>
    <w:rsid w:val="007A36A2"/>
    <w:rsid w:val="00800766"/>
    <w:rsid w:val="00820D8D"/>
    <w:rsid w:val="00871536"/>
    <w:rsid w:val="00880D4D"/>
    <w:rsid w:val="008B0418"/>
    <w:rsid w:val="008B1AC4"/>
    <w:rsid w:val="008C285A"/>
    <w:rsid w:val="0090692D"/>
    <w:rsid w:val="00922AFD"/>
    <w:rsid w:val="00945D17"/>
    <w:rsid w:val="00947A05"/>
    <w:rsid w:val="0095082C"/>
    <w:rsid w:val="00983C2C"/>
    <w:rsid w:val="009A3E72"/>
    <w:rsid w:val="009F5391"/>
    <w:rsid w:val="00A074F8"/>
    <w:rsid w:val="00A33032"/>
    <w:rsid w:val="00A45A6F"/>
    <w:rsid w:val="00A65900"/>
    <w:rsid w:val="00AD3801"/>
    <w:rsid w:val="00AE44DB"/>
    <w:rsid w:val="00B005B2"/>
    <w:rsid w:val="00B01A8F"/>
    <w:rsid w:val="00B20838"/>
    <w:rsid w:val="00B31395"/>
    <w:rsid w:val="00B95873"/>
    <w:rsid w:val="00BC3745"/>
    <w:rsid w:val="00BF0063"/>
    <w:rsid w:val="00BF088E"/>
    <w:rsid w:val="00BF18D3"/>
    <w:rsid w:val="00BF5D72"/>
    <w:rsid w:val="00BF710D"/>
    <w:rsid w:val="00C50588"/>
    <w:rsid w:val="00C51CD6"/>
    <w:rsid w:val="00C569E3"/>
    <w:rsid w:val="00C76632"/>
    <w:rsid w:val="00C83EDF"/>
    <w:rsid w:val="00C94C22"/>
    <w:rsid w:val="00CF612A"/>
    <w:rsid w:val="00D62C1E"/>
    <w:rsid w:val="00D91711"/>
    <w:rsid w:val="00D92C95"/>
    <w:rsid w:val="00D94E82"/>
    <w:rsid w:val="00DE0D8E"/>
    <w:rsid w:val="00DE581A"/>
    <w:rsid w:val="00E06875"/>
    <w:rsid w:val="00E236F5"/>
    <w:rsid w:val="00E259EB"/>
    <w:rsid w:val="00E35D3A"/>
    <w:rsid w:val="00E71EAF"/>
    <w:rsid w:val="00EA24A5"/>
    <w:rsid w:val="00EC10AA"/>
    <w:rsid w:val="00EC3994"/>
    <w:rsid w:val="00EE0428"/>
    <w:rsid w:val="00F05630"/>
    <w:rsid w:val="00F07AEB"/>
    <w:rsid w:val="00F106D6"/>
    <w:rsid w:val="00F147A7"/>
    <w:rsid w:val="00F350BB"/>
    <w:rsid w:val="00F60A45"/>
    <w:rsid w:val="00F772A1"/>
    <w:rsid w:val="00FC26AE"/>
    <w:rsid w:val="00FD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7BC1C"/>
  <w15:docId w15:val="{D6E208D0-DA58-BE47-AEA7-21893A64D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76632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C76632"/>
    <w:pPr>
      <w:ind w:left="100"/>
      <w:outlineLvl w:val="0"/>
    </w:pPr>
    <w:rPr>
      <w:rFonts w:ascii="Calibri" w:eastAsia="Calibri" w:hAnsi="Calibri"/>
      <w:b/>
      <w:bCs/>
      <w:sz w:val="44"/>
      <w:szCs w:val="44"/>
    </w:rPr>
  </w:style>
  <w:style w:type="paragraph" w:styleId="Heading2">
    <w:name w:val="heading 2"/>
    <w:basedOn w:val="Normal"/>
    <w:link w:val="Heading2Char"/>
    <w:uiPriority w:val="1"/>
    <w:qFormat/>
    <w:rsid w:val="00C76632"/>
    <w:pPr>
      <w:spacing w:before="152"/>
      <w:outlineLvl w:val="1"/>
    </w:pPr>
    <w:rPr>
      <w:rFonts w:ascii="Calibri" w:eastAsia="Calibri" w:hAnsi="Calibri"/>
      <w:b/>
      <w:bCs/>
      <w:i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A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7AE4"/>
  </w:style>
  <w:style w:type="paragraph" w:styleId="Footer">
    <w:name w:val="footer"/>
    <w:basedOn w:val="Normal"/>
    <w:link w:val="FooterChar"/>
    <w:uiPriority w:val="99"/>
    <w:unhideWhenUsed/>
    <w:rsid w:val="00577A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7AE4"/>
  </w:style>
  <w:style w:type="character" w:customStyle="1" w:styleId="Heading1Char">
    <w:name w:val="Heading 1 Char"/>
    <w:basedOn w:val="DefaultParagraphFont"/>
    <w:link w:val="Heading1"/>
    <w:uiPriority w:val="1"/>
    <w:rsid w:val="00C76632"/>
    <w:rPr>
      <w:rFonts w:ascii="Calibri" w:eastAsia="Calibri" w:hAnsi="Calibri"/>
      <w:b/>
      <w:bCs/>
      <w:sz w:val="44"/>
      <w:szCs w:val="44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C76632"/>
    <w:rPr>
      <w:rFonts w:ascii="Calibri" w:eastAsia="Calibri" w:hAnsi="Calibri"/>
      <w:b/>
      <w:bCs/>
      <w:i/>
      <w:sz w:val="44"/>
      <w:szCs w:val="4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76632"/>
    <w:pPr>
      <w:ind w:left="100"/>
    </w:pPr>
    <w:rPr>
      <w:rFonts w:ascii="Calibri" w:eastAsia="Calibri" w:hAnsi="Calibri"/>
      <w:sz w:val="30"/>
      <w:szCs w:val="30"/>
    </w:rPr>
  </w:style>
  <w:style w:type="character" w:customStyle="1" w:styleId="BodyTextChar">
    <w:name w:val="Body Text Char"/>
    <w:basedOn w:val="DefaultParagraphFont"/>
    <w:link w:val="BodyText"/>
    <w:uiPriority w:val="1"/>
    <w:rsid w:val="00C76632"/>
    <w:rPr>
      <w:rFonts w:ascii="Calibri" w:eastAsia="Calibri" w:hAnsi="Calibri"/>
      <w:sz w:val="30"/>
      <w:szCs w:val="30"/>
      <w:lang w:val="en-US"/>
    </w:rPr>
  </w:style>
  <w:style w:type="paragraph" w:customStyle="1" w:styleId="Default">
    <w:name w:val="Default"/>
    <w:rsid w:val="00C766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7663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C26AE"/>
    <w:pPr>
      <w:widowControl w:val="0"/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6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6AE"/>
    <w:rPr>
      <w:rFonts w:ascii="Segoe UI" w:hAnsi="Segoe UI" w:cs="Segoe UI"/>
      <w:sz w:val="18"/>
      <w:szCs w:val="18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522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D386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074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74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74F8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4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4F8"/>
    <w:rPr>
      <w:b/>
      <w:bCs/>
      <w:sz w:val="20"/>
      <w:szCs w:val="20"/>
      <w:lang w:val="en-US"/>
    </w:rPr>
  </w:style>
  <w:style w:type="paragraph" w:customStyle="1" w:styleId="QECTableCaption">
    <w:name w:val="QEC Table Caption"/>
    <w:basedOn w:val="Normal"/>
    <w:rsid w:val="00360CEE"/>
    <w:pPr>
      <w:widowControl/>
      <w:spacing w:after="240" w:line="480" w:lineRule="auto"/>
      <w:jc w:val="center"/>
    </w:pPr>
    <w:rPr>
      <w:rFonts w:ascii="Arial" w:eastAsia="Times New Roman" w:hAnsi="Arial" w:cs="Arial"/>
      <w:b/>
      <w:bCs/>
      <w:sz w:val="24"/>
      <w:szCs w:val="24"/>
      <w:lang w:val="en-CA"/>
    </w:rPr>
  </w:style>
  <w:style w:type="table" w:styleId="TableGrid">
    <w:name w:val="Table Grid"/>
    <w:basedOn w:val="TableNormal"/>
    <w:uiPriority w:val="59"/>
    <w:rsid w:val="00360CE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FD74E6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ec.nu.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Email%20&#8211;%20URRC@gov.nu.c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qec.nu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%20Email%20&#8211;%20URRC@gov.nu.c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E7996-378C-432C-89F3-D2D1E942D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Nunavut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White, Laurie-Anne</dc:creator>
  <cp:lastModifiedBy>18672223629</cp:lastModifiedBy>
  <cp:revision>3</cp:revision>
  <cp:lastPrinted>2019-11-26T15:28:00Z</cp:lastPrinted>
  <dcterms:created xsi:type="dcterms:W3CDTF">2024-12-10T15:40:00Z</dcterms:created>
  <dcterms:modified xsi:type="dcterms:W3CDTF">2024-12-12T16:36:00Z</dcterms:modified>
</cp:coreProperties>
</file>